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space="0" w:sz="0" w:val="nil"/>
          <w:left w:space="0" w:sz="0" w:val="nil"/>
          <w:bottom w:space="0" w:sz="0" w:val="nil"/>
          <w:right w:space="0" w:sz="0" w:val="nil"/>
          <w:between w:space="0" w:sz="0" w:val="nil"/>
        </w:pBdr>
        <w:spacing w:line="240" w:lineRule="auto"/>
        <w:ind w:left="0" w:hanging="2"/>
        <w:jc w:val="center"/>
        <w:rPr>
          <w:rFonts w:ascii="Calibri" w:cs="Calibri" w:eastAsia="Calibri" w:hAnsi="Calibri"/>
          <w:color w:val="000000"/>
        </w:rPr>
      </w:pPr>
      <w:r w:rsidDel="00000000" w:rsidR="00000000" w:rsidRPr="00000000">
        <w:rPr>
          <w:rFonts w:ascii="Calibri" w:cs="Calibri" w:eastAsia="Calibri" w:hAnsi="Calibri"/>
          <w:b w:val="1"/>
          <w:bCs w:val="1"/>
          <w:color w:val="000000"/>
          <w:rtl w:val="0"/>
        </w:rPr>
        <w:t xml:space="preserve">SPECYFIKACJA TECHNICZNA WYKONANIA  I ODBIORU ROBÓT BUDOWLANYCH</w:t>
      </w:r>
      <w:r w:rsidDel="00000000" w:rsidR="00000000" w:rsidRPr="00000000">
        <w:rPr>
          <w:rtl w:val="0"/>
        </w:rPr>
      </w:r>
    </w:p>
    <w:p w:rsidR="00000000" w:rsidDel="00000000" w:rsidP="00000000" w:rsidRDefault="00000000" w:rsidRPr="00000000" w14:paraId="00000002">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spacing w:line="240" w:lineRule="auto"/>
        <w:ind w:left="0" w:hanging="2"/>
        <w:jc w:val="center"/>
        <w:rPr>
          <w:rFonts w:ascii="Calibri" w:cs="Calibri" w:eastAsia="Calibri" w:hAnsi="Calibri"/>
          <w:color w:val="000000"/>
        </w:rPr>
      </w:pPr>
      <w:r w:rsidDel="00000000" w:rsidR="00000000" w:rsidRPr="00000000">
        <w:rPr>
          <w:rFonts w:ascii="Calibri" w:cs="Calibri" w:eastAsia="Calibri" w:hAnsi="Calibri"/>
          <w:b w:val="1"/>
          <w:bCs w:val="1"/>
          <w:color w:val="000000"/>
          <w:rtl w:val="0"/>
        </w:rPr>
        <w:t xml:space="preserve">TOM  IV</w:t>
      </w:r>
      <w:r w:rsidDel="00000000" w:rsidR="00000000" w:rsidRPr="00000000">
        <w:rPr>
          <w:rtl w:val="0"/>
        </w:rPr>
      </w:r>
    </w:p>
    <w:p w:rsidR="00000000" w:rsidDel="00000000" w:rsidP="00000000" w:rsidRDefault="00000000" w:rsidRPr="00000000" w14:paraId="00000004">
      <w:pPr>
        <w:pBdr>
          <w:top w:space="0" w:sz="0" w:val="nil"/>
          <w:left w:space="0" w:sz="0" w:val="nil"/>
          <w:bottom w:space="0" w:sz="0" w:val="nil"/>
          <w:right w:space="0" w:sz="0" w:val="nil"/>
          <w:between w:space="0" w:sz="0" w:val="nil"/>
        </w:pBdr>
        <w:spacing w:line="240" w:lineRule="auto"/>
        <w:ind w:left="0" w:hanging="2"/>
        <w:jc w:val="center"/>
        <w:rPr>
          <w:rFonts w:ascii="Calibri" w:cs="Calibri" w:eastAsia="Calibri" w:hAnsi="Calibri"/>
          <w:color w:val="000000"/>
        </w:rPr>
      </w:pPr>
      <w:r w:rsidDel="00000000" w:rsidR="00000000" w:rsidRPr="00000000">
        <w:rPr>
          <w:rFonts w:ascii="Calibri" w:cs="Calibri" w:eastAsia="Calibri" w:hAnsi="Calibri"/>
          <w:b w:val="1"/>
          <w:bCs w:val="1"/>
          <w:color w:val="000000"/>
          <w:rtl w:val="0"/>
        </w:rPr>
        <w:t xml:space="preserve">Budowa sieci cieplnych </w:t>
      </w:r>
      <w:r w:rsidDel="00000000" w:rsidR="00000000" w:rsidRPr="00000000">
        <w:rPr>
          <w:rtl w:val="0"/>
        </w:rPr>
      </w:r>
    </w:p>
    <w:p w:rsidR="00000000" w:rsidDel="00000000" w:rsidP="00000000" w:rsidRDefault="00000000" w:rsidRPr="00000000" w14:paraId="00000005">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006">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007">
      <w:pPr>
        <w:spacing w:line="276" w:lineRule="auto"/>
        <w:ind w:left="1" w:hanging="3"/>
        <w:rPr>
          <w:rFonts w:ascii="Calibri" w:cs="Calibri" w:eastAsia="Calibri" w:hAnsi="Calibri"/>
          <w:sz w:val="26"/>
          <w:szCs w:val="26"/>
        </w:rPr>
      </w:pPr>
      <w:r w:rsidDel="00000000" w:rsidR="00000000" w:rsidRPr="00000000">
        <w:rPr>
          <w:rFonts w:ascii="Calibri" w:cs="Calibri" w:eastAsia="Calibri" w:hAnsi="Calibri"/>
          <w:b w:val="1"/>
          <w:bCs w:val="1"/>
          <w:sz w:val="28"/>
          <w:szCs w:val="28"/>
          <w:rtl w:val="0"/>
        </w:rPr>
        <w:t xml:space="preserve">Przedmiot zamówienia:</w:t>
      </w:r>
      <w:r w:rsidDel="00000000" w:rsidR="00000000" w:rsidRPr="00000000">
        <w:rPr>
          <w:rtl w:val="0"/>
        </w:rPr>
      </w:r>
    </w:p>
    <w:p w:rsidR="00000000" w:rsidDel="00000000" w:rsidP="00000000" w:rsidRDefault="00000000" w:rsidRPr="00000000" w14:paraId="00000008">
      <w:pPr>
        <w:spacing w:line="276" w:lineRule="auto"/>
        <w:ind w:left="0" w:hanging="2"/>
        <w:rPr>
          <w:rFonts w:ascii="Calibri" w:cs="Calibri" w:eastAsia="Calibri" w:hAnsi="Calibri"/>
          <w:shd w:fill="ff9900" w:val="clear"/>
        </w:rPr>
      </w:pPr>
      <w:r w:rsidDel="00000000" w:rsidR="00000000" w:rsidRPr="00000000">
        <w:rPr>
          <w:rtl w:val="0"/>
        </w:rPr>
      </w:r>
    </w:p>
    <w:p w:rsidR="00000000" w:rsidDel="00000000" w:rsidP="00000000" w:rsidRDefault="00000000" w:rsidRPr="00000000" w14:paraId="00000009">
      <w:pPr>
        <w:spacing w:line="276" w:lineRule="auto"/>
        <w:ind w:left="0" w:hanging="2"/>
        <w:rPr>
          <w:rFonts w:ascii="Calibri" w:cs="Calibri" w:eastAsia="Calibri" w:hAnsi="Calibri"/>
          <w:b w:val="1"/>
          <w:bCs w:val="1"/>
        </w:rPr>
      </w:pPr>
      <w:r w:rsidDel="00000000" w:rsidR="00000000" w:rsidRPr="00000000">
        <w:rPr>
          <w:rFonts w:ascii="Calibri" w:cs="Calibri" w:eastAsia="Calibri" w:hAnsi="Calibri"/>
          <w:b w:val="1"/>
          <w:bCs w:val="1"/>
          <w:rtl w:val="0"/>
        </w:rPr>
        <w:t xml:space="preserve">Przebudowa osiedlowej sieci ciepłowniczej wraz z przyłączami do budynków przy Słupeckiej 4, 7 i 9 w Warszawie </w:t>
      </w:r>
      <w:r w:rsidDel="00000000" w:rsidR="00000000" w:rsidRPr="00000000">
        <w:rPr>
          <w:rFonts w:ascii="Calibri" w:cs="Calibri" w:eastAsia="Calibri" w:hAnsi="Calibri"/>
          <w:rtl w:val="0"/>
        </w:rPr>
        <w:t xml:space="preserve">polegająca na wykonaniu robót budowlanych, zgodnie z załączoną do części III SWZ dokumentacją projektową i formalnoprawną</w:t>
      </w:r>
      <w:r w:rsidDel="00000000" w:rsidR="00000000" w:rsidRPr="00000000">
        <w:rPr>
          <w:rFonts w:ascii="Calibri" w:cs="Calibri" w:eastAsia="Calibri" w:hAnsi="Calibri"/>
          <w:b w:val="1"/>
          <w:bCs w:val="1"/>
          <w:rtl w:val="0"/>
        </w:rPr>
        <w:t xml:space="preserve">.</w:t>
      </w:r>
    </w:p>
    <w:p w:rsidR="00000000" w:rsidDel="00000000" w:rsidP="00000000" w:rsidRDefault="00000000" w:rsidRPr="00000000" w14:paraId="0000000A">
      <w:pPr>
        <w:spacing w:line="276" w:lineRule="auto"/>
        <w:ind w:left="0" w:firstLine="0"/>
        <w:rPr>
          <w:rFonts w:ascii="Calibri" w:cs="Calibri" w:eastAsia="Calibri" w:hAnsi="Calibri"/>
          <w:b w:val="1"/>
          <w:bCs w:val="1"/>
        </w:rPr>
      </w:pPr>
      <w:r w:rsidDel="00000000" w:rsidR="00000000" w:rsidRPr="00000000">
        <w:rPr>
          <w:rtl w:val="0"/>
        </w:rPr>
      </w:r>
    </w:p>
    <w:p w:rsidR="00000000" w:rsidDel="00000000" w:rsidP="00000000" w:rsidRDefault="00000000" w:rsidRPr="00000000" w14:paraId="0000000B">
      <w:pPr>
        <w:spacing w:line="276" w:lineRule="auto"/>
        <w:ind w:left="0" w:firstLine="0"/>
        <w:rPr>
          <w:rFonts w:ascii="Calibri" w:cs="Calibri" w:eastAsia="Calibri" w:hAnsi="Calibri"/>
          <w:b w:val="1"/>
          <w:bCs w:val="1"/>
        </w:rPr>
      </w:pPr>
      <w:r w:rsidDel="00000000" w:rsidR="00000000" w:rsidRPr="00000000">
        <w:rPr>
          <w:rtl w:val="0"/>
        </w:rPr>
      </w:r>
    </w:p>
    <w:p w:rsidR="00000000" w:rsidDel="00000000" w:rsidP="00000000" w:rsidRDefault="00000000" w:rsidRPr="00000000" w14:paraId="0000000C">
      <w:pPr>
        <w:spacing w:line="276" w:lineRule="auto"/>
        <w:ind w:left="1" w:hanging="3"/>
        <w:rPr>
          <w:rFonts w:ascii="Calibri" w:cs="Calibri" w:eastAsia="Calibri" w:hAnsi="Calibri"/>
          <w:b w:val="1"/>
          <w:bCs w:val="1"/>
          <w:sz w:val="28"/>
          <w:szCs w:val="28"/>
        </w:rPr>
      </w:pPr>
      <w:r w:rsidDel="00000000" w:rsidR="00000000" w:rsidRPr="00000000">
        <w:rPr>
          <w:rFonts w:ascii="Calibri" w:cs="Calibri" w:eastAsia="Calibri" w:hAnsi="Calibri"/>
          <w:b w:val="1"/>
          <w:bCs w:val="1"/>
          <w:sz w:val="28"/>
          <w:szCs w:val="28"/>
          <w:rtl w:val="0"/>
        </w:rPr>
        <w:t xml:space="preserve">W ramach projektu: </w:t>
      </w:r>
    </w:p>
    <w:p w:rsidR="00000000" w:rsidDel="00000000" w:rsidP="00000000" w:rsidRDefault="00000000" w:rsidRPr="00000000" w14:paraId="0000000D">
      <w:pPr>
        <w:spacing w:line="276" w:lineRule="auto"/>
        <w:ind w:left="0" w:hanging="2"/>
        <w:rPr>
          <w:rFonts w:ascii="Calibri" w:cs="Calibri" w:eastAsia="Calibri" w:hAnsi="Calibri"/>
          <w:b w:val="1"/>
          <w:bCs w:val="1"/>
        </w:rPr>
      </w:pPr>
      <w:r w:rsidDel="00000000" w:rsidR="00000000" w:rsidRPr="00000000">
        <w:rPr>
          <w:rFonts w:ascii="Calibri" w:cs="Calibri" w:eastAsia="Calibri" w:hAnsi="Calibri"/>
          <w:b w:val="1"/>
          <w:bCs w:val="1"/>
          <w:rtl w:val="0"/>
        </w:rPr>
        <w:t xml:space="preserve">Modernizacja systemu ciepłowniczego na terenie m. st. Warszawy w celu poprawy efektywności energetycznej na lata 2025-2029 - Etap II</w:t>
      </w:r>
    </w:p>
    <w:p w:rsidR="00000000" w:rsidDel="00000000" w:rsidP="00000000" w:rsidRDefault="00000000" w:rsidRPr="00000000" w14:paraId="0000000E">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00F">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010">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011">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012">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013">
      <w:pPr>
        <w:keepNext w:val="1"/>
        <w:pBdr>
          <w:top w:space="0" w:sz="0" w:val="nil"/>
          <w:left w:space="0" w:sz="0" w:val="nil"/>
          <w:bottom w:space="0" w:sz="0" w:val="nil"/>
          <w:right w:space="0" w:sz="0" w:val="nil"/>
          <w:between w:space="0" w:sz="0" w:val="nil"/>
        </w:pBdr>
        <w:spacing w:before="240" w:line="360" w:lineRule="auto"/>
        <w:ind w:left="0" w:hanging="2"/>
        <w:rPr>
          <w:rFonts w:ascii="Calibri" w:cs="Calibri" w:eastAsia="Calibri" w:hAnsi="Calibri"/>
          <w:b w:val="1"/>
          <w:bCs w:val="1"/>
          <w:sz w:val="22"/>
          <w:szCs w:val="22"/>
        </w:rPr>
      </w:pPr>
      <w:r w:rsidDel="00000000" w:rsidR="00000000" w:rsidRPr="00000000">
        <w:br w:type="page"/>
      </w:r>
      <w:r w:rsidDel="00000000" w:rsidR="00000000" w:rsidRPr="00000000">
        <w:rPr>
          <w:rFonts w:ascii="Calibri" w:cs="Calibri" w:eastAsia="Calibri" w:hAnsi="Calibri"/>
          <w:b w:val="1"/>
          <w:bCs w:val="1"/>
          <w:sz w:val="22"/>
          <w:szCs w:val="22"/>
          <w:rtl w:val="0"/>
        </w:rPr>
        <w:t xml:space="preserve">Spis treści:</w:t>
      </w:r>
    </w:p>
    <w:sdt>
      <w:sdtPr>
        <w:id w:val="-465230017"/>
        <w:docPartObj>
          <w:docPartGallery w:val="Table of Contents"/>
          <w:docPartUnique w:val="1"/>
        </w:docPartObj>
      </w:sdtPr>
      <w:sdtContent>
        <w:p w:rsidR="00000000" w:rsidDel="00000000" w:rsidP="00000000" w:rsidRDefault="00000000" w:rsidRPr="00000000" w14:paraId="00000014">
          <w:pPr>
            <w:pBdr>
              <w:top w:space="0" w:sz="0" w:val="nil"/>
              <w:left w:space="0" w:sz="0" w:val="nil"/>
              <w:bottom w:space="0" w:sz="0" w:val="nil"/>
              <w:right w:space="0" w:sz="0" w:val="nil"/>
              <w:between w:space="0" w:sz="0" w:val="nil"/>
            </w:pBdr>
            <w:tabs>
              <w:tab w:val="left" w:leader="none" w:pos="567"/>
              <w:tab w:val="right" w:leader="none" w:pos="9639"/>
            </w:tabs>
            <w:spacing w:after="0" w:line="276" w:lineRule="auto"/>
            <w:ind w:left="0" w:hanging="2"/>
            <w:rPr>
              <w:rFonts w:ascii="Calibri" w:cs="Calibri" w:eastAsia="Calibri" w:hAnsi="Calibri"/>
              <w:sz w:val="22"/>
              <w:szCs w:val="22"/>
            </w:rPr>
          </w:pPr>
          <w:r w:rsidDel="00000000" w:rsidR="00000000" w:rsidRPr="00000000">
            <w:fldChar w:fldCharType="begin"/>
            <w:instrText xml:space="preserve"> TOC \h \u \z \t "Heading 1,1,Heading 2,2,Heading 3,3,"</w:instrText>
            <w:fldChar w:fldCharType="separate"/>
          </w:r>
          <w:r w:rsidDel="00000000" w:rsidR="00000000" w:rsidRPr="00000000">
            <w:fldChar w:fldCharType="begin"/>
            <w:instrText xml:space="preserve"> HYPERLINK \l "_heading=h.gjdgxs" </w:instrText>
            <w:fldChar w:fldCharType="separate"/>
          </w:r>
          <w:r w:rsidDel="00000000" w:rsidR="00000000" w:rsidRPr="00000000">
            <w:rPr>
              <w:rFonts w:ascii="Calibri" w:cs="Calibri" w:eastAsia="Calibri" w:hAnsi="Calibri"/>
              <w:sz w:val="22"/>
              <w:szCs w:val="22"/>
              <w:rtl w:val="0"/>
            </w:rPr>
            <w:t xml:space="preserve">1.</w:t>
            <w:tab/>
            <w:t xml:space="preserve">CZĘŚĆ OGÓLNA</w:t>
            <w:tab/>
            <w:t xml:space="preserve">3</w:t>
          </w:r>
        </w:p>
        <w:p w:rsidR="00000000" w:rsidDel="00000000" w:rsidP="00000000" w:rsidRDefault="00000000" w:rsidRPr="00000000" w14:paraId="00000015">
          <w:pPr>
            <w:pBdr>
              <w:top w:space="0" w:sz="0" w:val="nil"/>
              <w:left w:space="0" w:sz="0" w:val="nil"/>
              <w:bottom w:space="0" w:sz="0" w:val="nil"/>
              <w:right w:space="0" w:sz="0" w:val="nil"/>
              <w:between w:space="0" w:sz="0" w:val="nil"/>
            </w:pBdr>
            <w:tabs>
              <w:tab w:val="left" w:leader="none" w:pos="567"/>
              <w:tab w:val="right" w:leader="none" w:pos="9639"/>
            </w:tabs>
            <w:spacing w:after="0" w:line="276" w:lineRule="auto"/>
            <w:ind w:left="0" w:hanging="2"/>
            <w:rPr>
              <w:rFonts w:ascii="Calibri" w:cs="Calibri" w:eastAsia="Calibri" w:hAnsi="Calibri"/>
              <w:sz w:val="22"/>
              <w:szCs w:val="22"/>
            </w:rPr>
          </w:pPr>
          <w:r w:rsidDel="00000000" w:rsidR="00000000" w:rsidRPr="00000000">
            <w:fldChar w:fldCharType="end"/>
          </w:r>
          <w:r w:rsidDel="00000000" w:rsidR="00000000" w:rsidRPr="00000000">
            <w:fldChar w:fldCharType="begin"/>
            <w:instrText xml:space="preserve"> HYPERLINK \l "_heading=h.3dy6vkm" </w:instrText>
            <w:fldChar w:fldCharType="separate"/>
          </w:r>
          <w:r w:rsidDel="00000000" w:rsidR="00000000" w:rsidRPr="00000000">
            <w:rPr>
              <w:rFonts w:ascii="Calibri" w:cs="Calibri" w:eastAsia="Calibri" w:hAnsi="Calibri"/>
              <w:sz w:val="22"/>
              <w:szCs w:val="22"/>
              <w:rtl w:val="0"/>
            </w:rPr>
            <w:t xml:space="preserve">2.</w:t>
            <w:tab/>
            <w:t xml:space="preserve">KONTROLA JAKOŚCI, WYMAGANIA DOTYCZĄCE WŁAŚCIWOŚCI WYROBÓW BUDOWLANYCH</w:t>
            <w:tab/>
            <w:t xml:space="preserve">6</w:t>
          </w:r>
        </w:p>
        <w:p w:rsidR="00000000" w:rsidDel="00000000" w:rsidP="00000000" w:rsidRDefault="00000000" w:rsidRPr="00000000" w14:paraId="00000016">
          <w:pPr>
            <w:pBdr>
              <w:top w:space="0" w:sz="0" w:val="nil"/>
              <w:left w:space="0" w:sz="0" w:val="nil"/>
              <w:bottom w:space="0" w:sz="0" w:val="nil"/>
              <w:right w:space="0" w:sz="0" w:val="nil"/>
              <w:between w:space="0" w:sz="0" w:val="nil"/>
            </w:pBdr>
            <w:tabs>
              <w:tab w:val="left" w:leader="none" w:pos="567"/>
              <w:tab w:val="right" w:leader="none" w:pos="9639"/>
            </w:tabs>
            <w:spacing w:after="0" w:line="276" w:lineRule="auto"/>
            <w:ind w:left="0" w:hanging="2"/>
            <w:rPr>
              <w:rFonts w:ascii="Calibri" w:cs="Calibri" w:eastAsia="Calibri" w:hAnsi="Calibri"/>
              <w:sz w:val="22"/>
              <w:szCs w:val="22"/>
            </w:rPr>
          </w:pPr>
          <w:r w:rsidDel="00000000" w:rsidR="00000000" w:rsidRPr="00000000">
            <w:fldChar w:fldCharType="end"/>
          </w:r>
          <w:r w:rsidDel="00000000" w:rsidR="00000000" w:rsidRPr="00000000">
            <w:fldChar w:fldCharType="begin"/>
            <w:instrText xml:space="preserve"> HYPERLINK \l "_heading=h.lnxbz9" </w:instrText>
            <w:fldChar w:fldCharType="separate"/>
          </w:r>
          <w:r w:rsidDel="00000000" w:rsidR="00000000" w:rsidRPr="00000000">
            <w:rPr>
              <w:rFonts w:ascii="Calibri" w:cs="Calibri" w:eastAsia="Calibri" w:hAnsi="Calibri"/>
              <w:sz w:val="22"/>
              <w:szCs w:val="22"/>
              <w:rtl w:val="0"/>
            </w:rPr>
            <w:t xml:space="preserve">3.</w:t>
            <w:tab/>
            <w:t xml:space="preserve">MATERIAŁY</w:t>
            <w:tab/>
            <w:t xml:space="preserve">8</w:t>
          </w:r>
        </w:p>
        <w:p w:rsidR="00000000" w:rsidDel="00000000" w:rsidP="00000000" w:rsidRDefault="00000000" w:rsidRPr="00000000" w14:paraId="00000017">
          <w:pPr>
            <w:pBdr>
              <w:top w:space="0" w:sz="0" w:val="nil"/>
              <w:left w:space="0" w:sz="0" w:val="nil"/>
              <w:bottom w:space="0" w:sz="0" w:val="nil"/>
              <w:right w:space="0" w:sz="0" w:val="nil"/>
              <w:between w:space="0" w:sz="0" w:val="nil"/>
            </w:pBdr>
            <w:tabs>
              <w:tab w:val="left" w:leader="none" w:pos="567"/>
              <w:tab w:val="right" w:leader="none" w:pos="9639"/>
            </w:tabs>
            <w:spacing w:after="0" w:line="276" w:lineRule="auto"/>
            <w:ind w:left="0" w:hanging="2"/>
            <w:rPr>
              <w:rFonts w:ascii="Calibri" w:cs="Calibri" w:eastAsia="Calibri" w:hAnsi="Calibri"/>
              <w:sz w:val="22"/>
              <w:szCs w:val="22"/>
            </w:rPr>
          </w:pPr>
          <w:r w:rsidDel="00000000" w:rsidR="00000000" w:rsidRPr="00000000">
            <w:fldChar w:fldCharType="end"/>
          </w:r>
          <w:r w:rsidDel="00000000" w:rsidR="00000000" w:rsidRPr="00000000">
            <w:fldChar w:fldCharType="begin"/>
            <w:instrText xml:space="preserve"> HYPERLINK \l "_heading=h.44sinio" </w:instrText>
            <w:fldChar w:fldCharType="separate"/>
          </w:r>
          <w:r w:rsidDel="00000000" w:rsidR="00000000" w:rsidRPr="00000000">
            <w:rPr>
              <w:rFonts w:ascii="Calibri" w:cs="Calibri" w:eastAsia="Calibri" w:hAnsi="Calibri"/>
              <w:sz w:val="22"/>
              <w:szCs w:val="22"/>
              <w:rtl w:val="0"/>
            </w:rPr>
            <w:t xml:space="preserve">4.</w:t>
            <w:tab/>
            <w:t xml:space="preserve">WYMAGANIA DOTYCZĄCE SPRZĘTU I MASZYN</w:t>
            <w:tab/>
            <w:t xml:space="preserve">9</w:t>
          </w:r>
        </w:p>
        <w:p w:rsidR="00000000" w:rsidDel="00000000" w:rsidP="00000000" w:rsidRDefault="00000000" w:rsidRPr="00000000" w14:paraId="00000018">
          <w:pPr>
            <w:pBdr>
              <w:top w:space="0" w:sz="0" w:val="nil"/>
              <w:left w:space="0" w:sz="0" w:val="nil"/>
              <w:bottom w:space="0" w:sz="0" w:val="nil"/>
              <w:right w:space="0" w:sz="0" w:val="nil"/>
              <w:between w:space="0" w:sz="0" w:val="nil"/>
            </w:pBdr>
            <w:tabs>
              <w:tab w:val="left" w:leader="none" w:pos="567"/>
              <w:tab w:val="right" w:leader="none" w:pos="9639"/>
            </w:tabs>
            <w:spacing w:after="0" w:line="276" w:lineRule="auto"/>
            <w:ind w:left="0" w:hanging="2"/>
            <w:rPr>
              <w:rFonts w:ascii="Calibri" w:cs="Calibri" w:eastAsia="Calibri" w:hAnsi="Calibri"/>
              <w:sz w:val="22"/>
              <w:szCs w:val="22"/>
            </w:rPr>
          </w:pPr>
          <w:r w:rsidDel="00000000" w:rsidR="00000000" w:rsidRPr="00000000">
            <w:fldChar w:fldCharType="end"/>
          </w:r>
          <w:r w:rsidDel="00000000" w:rsidR="00000000" w:rsidRPr="00000000">
            <w:fldChar w:fldCharType="begin"/>
            <w:instrText xml:space="preserve"> HYPERLINK \l "_heading=h.2jxsxqh" </w:instrText>
            <w:fldChar w:fldCharType="separate"/>
          </w:r>
          <w:r w:rsidDel="00000000" w:rsidR="00000000" w:rsidRPr="00000000">
            <w:rPr>
              <w:rFonts w:ascii="Calibri" w:cs="Calibri" w:eastAsia="Calibri" w:hAnsi="Calibri"/>
              <w:sz w:val="22"/>
              <w:szCs w:val="22"/>
              <w:rtl w:val="0"/>
            </w:rPr>
            <w:t xml:space="preserve">5.</w:t>
            <w:tab/>
            <w:t xml:space="preserve">WYMAGANIA DOTYCZĄCE ŚRODKÓW TRANSPORTU</w:t>
            <w:tab/>
            <w:t xml:space="preserve">10</w:t>
          </w:r>
        </w:p>
        <w:p w:rsidR="00000000" w:rsidDel="00000000" w:rsidP="00000000" w:rsidRDefault="00000000" w:rsidRPr="00000000" w14:paraId="00000019">
          <w:pPr>
            <w:pBdr>
              <w:top w:space="0" w:sz="0" w:val="nil"/>
              <w:left w:space="0" w:sz="0" w:val="nil"/>
              <w:bottom w:space="0" w:sz="0" w:val="nil"/>
              <w:right w:space="0" w:sz="0" w:val="nil"/>
              <w:between w:space="0" w:sz="0" w:val="nil"/>
            </w:pBdr>
            <w:tabs>
              <w:tab w:val="left" w:leader="none" w:pos="567"/>
              <w:tab w:val="right" w:leader="none" w:pos="9639"/>
            </w:tabs>
            <w:spacing w:after="0" w:line="276" w:lineRule="auto"/>
            <w:ind w:left="0" w:hanging="2"/>
            <w:rPr>
              <w:rFonts w:ascii="Calibri" w:cs="Calibri" w:eastAsia="Calibri" w:hAnsi="Calibri"/>
              <w:sz w:val="22"/>
              <w:szCs w:val="22"/>
            </w:rPr>
          </w:pPr>
          <w:r w:rsidDel="00000000" w:rsidR="00000000" w:rsidRPr="00000000">
            <w:fldChar w:fldCharType="end"/>
          </w:r>
          <w:r w:rsidDel="00000000" w:rsidR="00000000" w:rsidRPr="00000000">
            <w:fldChar w:fldCharType="begin"/>
            <w:instrText xml:space="preserve"> HYPERLINK \l "_heading=h.1y810tw" </w:instrText>
            <w:fldChar w:fldCharType="separate"/>
          </w:r>
          <w:r w:rsidDel="00000000" w:rsidR="00000000" w:rsidRPr="00000000">
            <w:rPr>
              <w:rFonts w:ascii="Calibri" w:cs="Calibri" w:eastAsia="Calibri" w:hAnsi="Calibri"/>
              <w:sz w:val="22"/>
              <w:szCs w:val="22"/>
              <w:rtl w:val="0"/>
            </w:rPr>
            <w:t xml:space="preserve">6.</w:t>
            <w:tab/>
            <w:t xml:space="preserve">WYMAGANIA DOTYCZĄCE WYKONANIA ROBÓT BUDOWLANYCH</w:t>
            <w:tab/>
            <w:t xml:space="preserve">10</w:t>
          </w:r>
        </w:p>
        <w:p w:rsidR="00000000" w:rsidDel="00000000" w:rsidP="00000000" w:rsidRDefault="00000000" w:rsidRPr="00000000" w14:paraId="0000001A">
          <w:pPr>
            <w:pBdr>
              <w:top w:space="0" w:sz="0" w:val="nil"/>
              <w:left w:space="0" w:sz="0" w:val="nil"/>
              <w:bottom w:space="0" w:sz="0" w:val="nil"/>
              <w:right w:space="0" w:sz="0" w:val="nil"/>
              <w:between w:space="0" w:sz="0" w:val="nil"/>
            </w:pBdr>
            <w:tabs>
              <w:tab w:val="left" w:leader="none" w:pos="567"/>
              <w:tab w:val="right" w:leader="none" w:pos="9639"/>
            </w:tabs>
            <w:spacing w:after="0" w:line="276" w:lineRule="auto"/>
            <w:ind w:left="0" w:hanging="2"/>
            <w:rPr>
              <w:rFonts w:ascii="Calibri" w:cs="Calibri" w:eastAsia="Calibri" w:hAnsi="Calibri"/>
              <w:sz w:val="22"/>
              <w:szCs w:val="22"/>
            </w:rPr>
          </w:pPr>
          <w:r w:rsidDel="00000000" w:rsidR="00000000" w:rsidRPr="00000000">
            <w:fldChar w:fldCharType="end"/>
          </w:r>
          <w:r w:rsidDel="00000000" w:rsidR="00000000" w:rsidRPr="00000000">
            <w:fldChar w:fldCharType="begin"/>
            <w:instrText xml:space="preserve"> HYPERLINK \l "_heading=h.2grqrue" </w:instrText>
            <w:fldChar w:fldCharType="separate"/>
          </w:r>
          <w:r w:rsidDel="00000000" w:rsidR="00000000" w:rsidRPr="00000000">
            <w:rPr>
              <w:rFonts w:ascii="Calibri" w:cs="Calibri" w:eastAsia="Calibri" w:hAnsi="Calibri"/>
              <w:sz w:val="22"/>
              <w:szCs w:val="22"/>
              <w:rtl w:val="0"/>
            </w:rPr>
            <w:t xml:space="preserve">7.</w:t>
            <w:tab/>
            <w:t xml:space="preserve">ODBIORY ROBÓT SIECI CIEPLNYCH</w:t>
            <w:tab/>
            <w:t xml:space="preserve">19</w:t>
          </w:r>
        </w:p>
        <w:p w:rsidR="00000000" w:rsidDel="00000000" w:rsidP="00000000" w:rsidRDefault="00000000" w:rsidRPr="00000000" w14:paraId="0000001B">
          <w:pPr>
            <w:pBdr>
              <w:top w:space="0" w:sz="0" w:val="nil"/>
              <w:left w:space="0" w:sz="0" w:val="nil"/>
              <w:bottom w:space="0" w:sz="0" w:val="nil"/>
              <w:right w:space="0" w:sz="0" w:val="nil"/>
              <w:between w:space="0" w:sz="0" w:val="nil"/>
            </w:pBdr>
            <w:tabs>
              <w:tab w:val="left" w:leader="none" w:pos="567"/>
              <w:tab w:val="right" w:leader="none" w:pos="9639"/>
            </w:tabs>
            <w:spacing w:after="0" w:line="276" w:lineRule="auto"/>
            <w:ind w:left="0" w:hanging="2"/>
            <w:rPr>
              <w:rFonts w:ascii="Calibri" w:cs="Calibri" w:eastAsia="Calibri" w:hAnsi="Calibri"/>
              <w:sz w:val="22"/>
              <w:szCs w:val="22"/>
            </w:rPr>
          </w:pPr>
          <w:r w:rsidDel="00000000" w:rsidR="00000000" w:rsidRPr="00000000">
            <w:fldChar w:fldCharType="end"/>
          </w:r>
          <w:r w:rsidDel="00000000" w:rsidR="00000000" w:rsidRPr="00000000">
            <w:fldChar w:fldCharType="begin"/>
            <w:instrText xml:space="preserve"> HYPERLINK \l "_heading=h.vx1227" </w:instrText>
            <w:fldChar w:fldCharType="separate"/>
          </w:r>
          <w:r w:rsidDel="00000000" w:rsidR="00000000" w:rsidRPr="00000000">
            <w:rPr>
              <w:rFonts w:ascii="Calibri" w:cs="Calibri" w:eastAsia="Calibri" w:hAnsi="Calibri"/>
              <w:sz w:val="22"/>
              <w:szCs w:val="22"/>
              <w:rtl w:val="0"/>
            </w:rPr>
            <w:t xml:space="preserve">8.</w:t>
            <w:tab/>
            <w:t xml:space="preserve">PŁATNOŚCI</w:t>
            <w:tab/>
            <w:t xml:space="preserve">19</w:t>
          </w:r>
        </w:p>
        <w:p w:rsidR="00000000" w:rsidDel="00000000" w:rsidP="00000000" w:rsidRDefault="00000000" w:rsidRPr="00000000" w14:paraId="0000001C">
          <w:pPr>
            <w:pBdr>
              <w:top w:space="0" w:sz="0" w:val="nil"/>
              <w:left w:space="0" w:sz="0" w:val="nil"/>
              <w:bottom w:space="0" w:sz="0" w:val="nil"/>
              <w:right w:space="0" w:sz="0" w:val="nil"/>
              <w:between w:space="0" w:sz="0" w:val="nil"/>
            </w:pBdr>
            <w:tabs>
              <w:tab w:val="left" w:leader="none" w:pos="567"/>
              <w:tab w:val="right" w:leader="none" w:pos="9639"/>
            </w:tabs>
            <w:spacing w:after="0" w:line="276" w:lineRule="auto"/>
            <w:ind w:left="0" w:hanging="2"/>
            <w:rPr>
              <w:rFonts w:ascii="Calibri" w:cs="Calibri" w:eastAsia="Calibri" w:hAnsi="Calibri"/>
              <w:sz w:val="22"/>
              <w:szCs w:val="22"/>
            </w:rPr>
          </w:pPr>
          <w:r w:rsidDel="00000000" w:rsidR="00000000" w:rsidRPr="00000000">
            <w:fldChar w:fldCharType="end"/>
          </w:r>
          <w:hyperlink w:anchor="_heading=h.3fwokq0">
            <w:r w:rsidDel="00000000" w:rsidR="00000000" w:rsidRPr="00000000">
              <w:rPr>
                <w:rFonts w:ascii="Calibri" w:cs="Calibri" w:eastAsia="Calibri" w:hAnsi="Calibri"/>
                <w:sz w:val="22"/>
                <w:szCs w:val="22"/>
                <w:rtl w:val="0"/>
              </w:rPr>
              <w:t xml:space="preserve">9.</w:t>
              <w:tab/>
              <w:t xml:space="preserve">PRZEPISY ZWIĄZANE</w:t>
              <w:tab/>
              <w:t xml:space="preserve">19</w:t>
            </w:r>
          </w:hyperlink>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1D">
      <w:pPr>
        <w:pBdr>
          <w:top w:space="0" w:sz="0" w:val="nil"/>
          <w:left w:space="0" w:sz="0" w:val="nil"/>
          <w:bottom w:space="0" w:sz="0" w:val="nil"/>
          <w:right w:space="0" w:sz="0" w:val="nil"/>
          <w:between w:space="0" w:sz="0" w:val="nil"/>
        </w:pBdr>
        <w:tabs>
          <w:tab w:val="left" w:leader="none" w:pos="567"/>
          <w:tab w:val="right" w:leader="none" w:pos="8789"/>
          <w:tab w:val="right" w:leader="none" w:pos="9639"/>
        </w:tabs>
        <w:spacing w:after="0" w:line="276" w:lineRule="auto"/>
        <w:ind w:left="0" w:right="284" w:hanging="2"/>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1E">
      <w:pPr>
        <w:pBdr>
          <w:top w:space="0" w:sz="0" w:val="nil"/>
          <w:left w:space="0" w:sz="0" w:val="nil"/>
          <w:bottom w:space="0" w:sz="0" w:val="nil"/>
          <w:right w:space="0" w:sz="0" w:val="nil"/>
          <w:between w:space="0" w:sz="0" w:val="nil"/>
        </w:pBdr>
        <w:tabs>
          <w:tab w:val="left" w:leader="none" w:pos="567"/>
          <w:tab w:val="right" w:leader="none" w:pos="8789"/>
          <w:tab w:val="right" w:leader="none" w:pos="9072"/>
        </w:tabs>
        <w:spacing w:after="0" w:line="276" w:lineRule="auto"/>
        <w:ind w:left="0" w:right="284" w:hanging="2"/>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01F">
      <w:pPr>
        <w:pBdr>
          <w:top w:space="0" w:sz="0" w:val="nil"/>
          <w:left w:space="0" w:sz="0" w:val="nil"/>
          <w:bottom w:space="0" w:sz="0" w:val="nil"/>
          <w:right w:space="0" w:sz="0" w:val="nil"/>
          <w:between w:space="0" w:sz="0" w:val="nil"/>
        </w:pBdr>
        <w:tabs>
          <w:tab w:val="left" w:leader="none" w:pos="567"/>
          <w:tab w:val="right" w:leader="none" w:pos="8789"/>
          <w:tab w:val="right" w:leader="none" w:pos="9072"/>
        </w:tabs>
        <w:spacing w:after="0" w:line="276" w:lineRule="auto"/>
        <w:ind w:left="0" w:right="284" w:hanging="2"/>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020">
      <w:pPr>
        <w:pBdr>
          <w:top w:space="0" w:sz="0" w:val="nil"/>
          <w:left w:space="0" w:sz="0" w:val="nil"/>
          <w:bottom w:space="0" w:sz="0" w:val="nil"/>
          <w:right w:space="0" w:sz="0" w:val="nil"/>
          <w:between w:space="0" w:sz="0" w:val="nil"/>
        </w:pBdr>
        <w:tabs>
          <w:tab w:val="left" w:leader="none" w:pos="567"/>
          <w:tab w:val="right" w:leader="none" w:pos="8789"/>
          <w:tab w:val="right" w:leader="none" w:pos="9072"/>
        </w:tabs>
        <w:spacing w:after="0" w:line="276" w:lineRule="auto"/>
        <w:ind w:left="0" w:right="284" w:hanging="2"/>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021">
      <w:pPr>
        <w:pBdr>
          <w:top w:space="0" w:sz="0" w:val="nil"/>
          <w:left w:space="0" w:sz="0" w:val="nil"/>
          <w:bottom w:space="0" w:sz="0" w:val="nil"/>
          <w:right w:space="0" w:sz="0" w:val="nil"/>
          <w:between w:space="0" w:sz="0" w:val="nil"/>
        </w:pBdr>
        <w:tabs>
          <w:tab w:val="left" w:leader="none" w:pos="567"/>
          <w:tab w:val="right" w:leader="none" w:pos="8789"/>
          <w:tab w:val="right" w:leader="none" w:pos="9072"/>
        </w:tabs>
        <w:spacing w:after="0" w:line="276" w:lineRule="auto"/>
        <w:ind w:left="0" w:right="284" w:hanging="2"/>
        <w:rPr>
          <w:rFonts w:ascii="Calibri" w:cs="Calibri" w:eastAsia="Calibri" w:hAnsi="Calibri"/>
          <w:color w:val="000000"/>
          <w:sz w:val="22"/>
          <w:szCs w:val="22"/>
        </w:rPr>
      </w:pPr>
      <w:bookmarkStart w:colFirst="0" w:colLast="0" w:name="_heading=h.gjdgxs" w:id="0"/>
      <w:bookmarkEnd w:id="0"/>
      <w:r w:rsidDel="00000000" w:rsidR="00000000" w:rsidRPr="00000000">
        <w:rPr>
          <w:rFonts w:ascii="Calibri" w:cs="Calibri" w:eastAsia="Calibri" w:hAnsi="Calibri"/>
          <w:color w:val="000000"/>
          <w:sz w:val="22"/>
          <w:szCs w:val="22"/>
          <w:rtl w:val="0"/>
        </w:rPr>
        <w:t xml:space="preserve">                            </w:t>
      </w:r>
    </w:p>
    <w:p w:rsidR="00000000" w:rsidDel="00000000" w:rsidP="00000000" w:rsidRDefault="00000000" w:rsidRPr="00000000" w14:paraId="00000022">
      <w:pPr>
        <w:keepNext w:val="1"/>
        <w:widowControl w:val="0"/>
        <w:numPr>
          <w:ilvl w:val="0"/>
          <w:numId w:val="24"/>
        </w:numPr>
        <w:pBdr>
          <w:top w:space="0" w:sz="0" w:val="nil"/>
          <w:left w:space="0" w:sz="0" w:val="nil"/>
          <w:bottom w:space="0" w:sz="0" w:val="nil"/>
          <w:right w:space="0" w:sz="0" w:val="nil"/>
          <w:between w:space="0" w:sz="0" w:val="nil"/>
        </w:pBdr>
        <w:spacing w:after="0" w:line="276" w:lineRule="auto"/>
        <w:ind w:left="0" w:hanging="2"/>
        <w:jc w:val="left"/>
        <w:rPr>
          <w:rFonts w:ascii="Calibri" w:cs="Calibri" w:eastAsia="Calibri" w:hAnsi="Calibri"/>
          <w:b w:val="1"/>
          <w:bCs w:val="1"/>
          <w:color w:val="000000"/>
          <w:sz w:val="22"/>
          <w:szCs w:val="22"/>
        </w:rPr>
      </w:pPr>
      <w:r w:rsidDel="00000000" w:rsidR="00000000" w:rsidRPr="00000000">
        <w:br w:type="page"/>
      </w:r>
      <w:r w:rsidDel="00000000" w:rsidR="00000000" w:rsidRPr="00000000">
        <w:rPr>
          <w:rFonts w:ascii="Calibri" w:cs="Calibri" w:eastAsia="Calibri" w:hAnsi="Calibri"/>
          <w:b w:val="1"/>
          <w:bCs w:val="1"/>
          <w:color w:val="000000"/>
          <w:rtl w:val="0"/>
        </w:rPr>
        <w:t xml:space="preserve">CZĘŚĆ OGÓLNA</w:t>
      </w:r>
      <w:r w:rsidDel="00000000" w:rsidR="00000000" w:rsidRPr="00000000">
        <w:rPr>
          <w:rtl w:val="0"/>
        </w:rPr>
      </w:r>
    </w:p>
    <w:p w:rsidR="00000000" w:rsidDel="00000000" w:rsidP="00000000" w:rsidRDefault="00000000" w:rsidRPr="00000000" w14:paraId="00000023">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bookmarkStart w:colFirst="0" w:colLast="0" w:name="_heading=h.30j0zll" w:id="1"/>
      <w:bookmarkEnd w:id="1"/>
      <w:r w:rsidDel="00000000" w:rsidR="00000000" w:rsidRPr="00000000">
        <w:rPr>
          <w:rtl w:val="0"/>
        </w:rPr>
      </w:r>
    </w:p>
    <w:p w:rsidR="00000000" w:rsidDel="00000000" w:rsidP="00000000" w:rsidRDefault="00000000" w:rsidRPr="00000000" w14:paraId="00000024">
      <w:pPr>
        <w:keepNext w:val="1"/>
        <w:numPr>
          <w:ilvl w:val="1"/>
          <w:numId w:val="32"/>
        </w:numPr>
        <w:pBdr>
          <w:top w:space="0" w:sz="0" w:val="nil"/>
          <w:left w:space="0" w:sz="0" w:val="nil"/>
          <w:bottom w:space="0" w:sz="0" w:val="nil"/>
          <w:right w:space="0" w:sz="0" w:val="nil"/>
          <w:between w:space="0" w:sz="0" w:val="nil"/>
        </w:pBdr>
        <w:spacing w:line="240" w:lineRule="auto"/>
        <w:ind w:left="0" w:hanging="2"/>
        <w:jc w:val="left"/>
        <w:rPr>
          <w:rFonts w:ascii="Calibri" w:cs="Calibri" w:eastAsia="Calibri" w:hAnsi="Calibri"/>
          <w:b w:val="1"/>
          <w:bCs w:val="1"/>
          <w:color w:val="000000"/>
          <w:sz w:val="22"/>
          <w:szCs w:val="22"/>
        </w:rPr>
      </w:pPr>
      <w:r w:rsidDel="00000000" w:rsidR="00000000" w:rsidRPr="00000000">
        <w:rPr>
          <w:rFonts w:ascii="Calibri" w:cs="Calibri" w:eastAsia="Calibri" w:hAnsi="Calibri"/>
          <w:b w:val="1"/>
          <w:bCs w:val="1"/>
          <w:color w:val="000000"/>
          <w:sz w:val="22"/>
          <w:szCs w:val="22"/>
          <w:rtl w:val="0"/>
        </w:rPr>
        <w:t xml:space="preserve">Przedmiot Specyfikacji Technicznej</w:t>
      </w:r>
    </w:p>
    <w:p w:rsidR="00000000" w:rsidDel="00000000" w:rsidP="00000000" w:rsidRDefault="00000000" w:rsidRPr="00000000" w14:paraId="00000025">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Wykonanie robót budowlanych w zakresie:</w:t>
      </w:r>
      <w:r w:rsidDel="00000000" w:rsidR="00000000" w:rsidRPr="00000000">
        <w:rPr>
          <w:rFonts w:ascii="Calibri" w:cs="Calibri" w:eastAsia="Calibri" w:hAnsi="Calibri"/>
          <w:b w:val="1"/>
          <w:bCs w:val="1"/>
          <w:color w:val="000000"/>
          <w:sz w:val="22"/>
          <w:szCs w:val="22"/>
          <w:rtl w:val="0"/>
        </w:rPr>
        <w:t xml:space="preserve">  </w:t>
      </w:r>
      <w:r w:rsidDel="00000000" w:rsidR="00000000" w:rsidRPr="00000000">
        <w:rPr>
          <w:rtl w:val="0"/>
        </w:rPr>
      </w:r>
    </w:p>
    <w:p w:rsidR="00000000" w:rsidDel="00000000" w:rsidP="00000000" w:rsidRDefault="00000000" w:rsidRPr="00000000" w14:paraId="00000026">
      <w:pPr>
        <w:spacing w:after="0" w:line="276" w:lineRule="auto"/>
        <w:ind w:hanging="2"/>
        <w:rPr>
          <w:rFonts w:ascii="Calibri" w:cs="Calibri" w:eastAsia="Calibri" w:hAnsi="Calibri"/>
          <w:b w:val="1"/>
          <w:bCs w:val="1"/>
        </w:rPr>
      </w:pPr>
      <w:bookmarkStart w:colFirst="0" w:colLast="0" w:name="_heading=h.2u6wntf" w:id="2"/>
      <w:bookmarkEnd w:id="2"/>
      <w:r w:rsidDel="00000000" w:rsidR="00000000" w:rsidRPr="00000000">
        <w:rPr>
          <w:rFonts w:ascii="Calibri" w:cs="Calibri" w:eastAsia="Calibri" w:hAnsi="Calibri"/>
          <w:b w:val="1"/>
          <w:bCs w:val="1"/>
          <w:rtl w:val="0"/>
        </w:rPr>
        <w:t xml:space="preserve">Przebudowa osiedlowej sieci ciepłowniczej wraz z przyłączami do budynków przy Słupeckiej 4, 7 i 9 w Warszawie.</w:t>
      </w:r>
    </w:p>
    <w:p w:rsidR="00000000" w:rsidDel="00000000" w:rsidP="00000000" w:rsidRDefault="00000000" w:rsidRPr="00000000" w14:paraId="00000027">
      <w:pPr>
        <w:spacing w:after="0" w:line="276" w:lineRule="auto"/>
        <w:ind w:hanging="2"/>
        <w:rPr>
          <w:rFonts w:ascii="Calibri" w:cs="Calibri" w:eastAsia="Calibri" w:hAnsi="Calibri"/>
          <w:b w:val="1"/>
          <w:bCs w:val="1"/>
        </w:rPr>
      </w:pPr>
      <w:bookmarkStart w:colFirst="0" w:colLast="0" w:name="_heading=h.brpmg4eoq50w" w:id="3"/>
      <w:bookmarkEnd w:id="3"/>
      <w:r w:rsidDel="00000000" w:rsidR="00000000" w:rsidRPr="00000000">
        <w:rPr>
          <w:rtl w:val="0"/>
        </w:rPr>
      </w:r>
    </w:p>
    <w:p w:rsidR="00000000" w:rsidDel="00000000" w:rsidP="00000000" w:rsidRDefault="00000000" w:rsidRPr="00000000" w14:paraId="00000028">
      <w:pPr>
        <w:keepNext w:val="1"/>
        <w:numPr>
          <w:ilvl w:val="1"/>
          <w:numId w:val="32"/>
        </w:numPr>
        <w:pBdr>
          <w:top w:space="0" w:sz="0" w:val="nil"/>
          <w:left w:space="0" w:sz="0" w:val="nil"/>
          <w:bottom w:space="0" w:sz="0" w:val="nil"/>
          <w:right w:space="0" w:sz="0" w:val="nil"/>
          <w:between w:space="0" w:sz="0" w:val="nil"/>
        </w:pBdr>
        <w:spacing w:line="240" w:lineRule="auto"/>
        <w:ind w:left="0" w:hanging="2"/>
        <w:jc w:val="left"/>
        <w:rPr>
          <w:rFonts w:ascii="Calibri" w:cs="Calibri" w:eastAsia="Calibri" w:hAnsi="Calibri"/>
          <w:b w:val="1"/>
          <w:bCs w:val="1"/>
          <w:color w:val="000000"/>
          <w:sz w:val="22"/>
          <w:szCs w:val="22"/>
        </w:rPr>
      </w:pPr>
      <w:r w:rsidDel="00000000" w:rsidR="00000000" w:rsidRPr="00000000">
        <w:rPr>
          <w:rFonts w:ascii="Calibri" w:cs="Calibri" w:eastAsia="Calibri" w:hAnsi="Calibri"/>
          <w:b w:val="1"/>
          <w:bCs w:val="1"/>
          <w:color w:val="000000"/>
          <w:sz w:val="22"/>
          <w:szCs w:val="22"/>
          <w:rtl w:val="0"/>
        </w:rPr>
        <w:t xml:space="preserve">Zakres robót</w:t>
      </w:r>
    </w:p>
    <w:p w:rsidR="00000000" w:rsidDel="00000000" w:rsidP="00000000" w:rsidRDefault="00000000" w:rsidRPr="00000000" w14:paraId="00000029">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Niniejsza specyfikacja techniczna dotyczy w całości robót niezbędnych do budowy sieci ciepłowniczej dla zadania wymienionego w pkt.1.1. Jest to wiodący rodzaj robót.</w:t>
      </w:r>
    </w:p>
    <w:p w:rsidR="00000000" w:rsidDel="00000000" w:rsidP="00000000" w:rsidRDefault="00000000" w:rsidRPr="00000000" w14:paraId="0000002A">
      <w:pPr>
        <w:pBdr>
          <w:top w:space="0" w:sz="0" w:val="nil"/>
          <w:left w:space="0" w:sz="0" w:val="nil"/>
          <w:bottom w:space="0" w:sz="0" w:val="nil"/>
          <w:right w:space="0" w:sz="0" w:val="nil"/>
          <w:between w:space="0" w:sz="0" w:val="nil"/>
        </w:pBdr>
        <w:spacing w:after="0"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Ustalenia zawarte w niniejszej ST dotyczą prowadzenia robót sieci ciepłowniczych zgodnie z Dokumentacją Projektową wraz z rysunkami i opracowaniem „Eksploatacyjne wytyczne projektowania oraz wykonania rurociągów preizolowanych w osłonie PE-HD – Część II – Projektowanie i montaż” stanowiącymi załącznik nr 2 do Specyfikacji technicznej.</w:t>
      </w:r>
    </w:p>
    <w:p w:rsidR="00000000" w:rsidDel="00000000" w:rsidP="00000000" w:rsidRDefault="00000000" w:rsidRPr="00000000" w14:paraId="0000002B">
      <w:pPr>
        <w:pBdr>
          <w:top w:space="0" w:sz="0" w:val="nil"/>
          <w:left w:space="0" w:sz="0" w:val="nil"/>
          <w:bottom w:space="0" w:sz="0" w:val="nil"/>
          <w:right w:space="0" w:sz="0" w:val="nil"/>
          <w:between w:space="0" w:sz="0" w:val="nil"/>
        </w:pBdr>
        <w:spacing w:after="0" w:line="240" w:lineRule="auto"/>
        <w:ind w:left="0" w:hanging="2"/>
        <w:rPr>
          <w:rFonts w:ascii="Calibri" w:cs="Calibri" w:eastAsia="Calibri" w:hAnsi="Calibri"/>
          <w:color w:val="000000"/>
          <w:sz w:val="22"/>
          <w:szCs w:val="22"/>
        </w:rPr>
      </w:pPr>
      <w:bookmarkStart w:colFirst="0" w:colLast="0" w:name="_heading=h.1fob9te" w:id="4"/>
      <w:bookmarkEnd w:id="4"/>
      <w:r w:rsidDel="00000000" w:rsidR="00000000" w:rsidRPr="00000000">
        <w:rPr>
          <w:rtl w:val="0"/>
        </w:rPr>
      </w:r>
    </w:p>
    <w:p w:rsidR="00000000" w:rsidDel="00000000" w:rsidP="00000000" w:rsidRDefault="00000000" w:rsidRPr="00000000" w14:paraId="0000002C">
      <w:pPr>
        <w:keepNext w:val="1"/>
        <w:numPr>
          <w:ilvl w:val="1"/>
          <w:numId w:val="32"/>
        </w:numPr>
        <w:pBdr>
          <w:top w:space="0" w:sz="0" w:val="nil"/>
          <w:left w:space="0" w:sz="0" w:val="nil"/>
          <w:bottom w:space="0" w:sz="0" w:val="nil"/>
          <w:right w:space="0" w:sz="0" w:val="nil"/>
          <w:between w:space="0" w:sz="0" w:val="nil"/>
        </w:pBdr>
        <w:spacing w:line="240" w:lineRule="auto"/>
        <w:ind w:left="0" w:hanging="2"/>
        <w:jc w:val="left"/>
        <w:rPr>
          <w:rFonts w:ascii="Calibri" w:cs="Calibri" w:eastAsia="Calibri" w:hAnsi="Calibri"/>
          <w:b w:val="1"/>
          <w:bCs w:val="1"/>
          <w:color w:val="000000"/>
          <w:sz w:val="22"/>
          <w:szCs w:val="22"/>
        </w:rPr>
      </w:pPr>
      <w:r w:rsidDel="00000000" w:rsidR="00000000" w:rsidRPr="00000000">
        <w:rPr>
          <w:rFonts w:ascii="Calibri" w:cs="Calibri" w:eastAsia="Calibri" w:hAnsi="Calibri"/>
          <w:b w:val="1"/>
          <w:bCs w:val="1"/>
          <w:color w:val="000000"/>
          <w:sz w:val="22"/>
          <w:szCs w:val="22"/>
          <w:rtl w:val="0"/>
        </w:rPr>
        <w:t xml:space="preserve">Prace przygotowawcze, towarzyszące i roboty tymczasowe</w:t>
      </w:r>
    </w:p>
    <w:p w:rsidR="00000000" w:rsidDel="00000000" w:rsidP="00000000" w:rsidRDefault="00000000" w:rsidRPr="00000000" w14:paraId="0000002D">
      <w:pPr>
        <w:pBdr>
          <w:top w:space="0" w:sz="0" w:val="nil"/>
          <w:left w:space="0" w:sz="0" w:val="nil"/>
          <w:bottom w:space="0" w:sz="0" w:val="nil"/>
          <w:right w:space="0" w:sz="0" w:val="nil"/>
          <w:between w:space="0" w:sz="0" w:val="nil"/>
        </w:pBdr>
        <w:spacing w:after="0"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Szczegółowy opis prac towarzyszących i robót tymczasowych opisano w ST tom I pkt 2.</w:t>
      </w:r>
    </w:p>
    <w:p w:rsidR="00000000" w:rsidDel="00000000" w:rsidP="00000000" w:rsidRDefault="00000000" w:rsidRPr="00000000" w14:paraId="0000002E">
      <w:pPr>
        <w:pBdr>
          <w:top w:space="0" w:sz="0" w:val="nil"/>
          <w:left w:space="0" w:sz="0" w:val="nil"/>
          <w:bottom w:space="0" w:sz="0" w:val="nil"/>
          <w:right w:space="0" w:sz="0" w:val="nil"/>
          <w:between w:space="0" w:sz="0" w:val="nil"/>
        </w:pBdr>
        <w:spacing w:after="0" w:line="240" w:lineRule="auto"/>
        <w:ind w:left="0" w:hanging="2"/>
        <w:rPr>
          <w:rFonts w:ascii="Calibri" w:cs="Calibri" w:eastAsia="Calibri" w:hAnsi="Calibri"/>
          <w:color w:val="000000"/>
          <w:sz w:val="22"/>
          <w:szCs w:val="22"/>
        </w:rPr>
      </w:pPr>
      <w:bookmarkStart w:colFirst="0" w:colLast="0" w:name="_heading=h.3znysh7" w:id="5"/>
      <w:bookmarkEnd w:id="5"/>
      <w:r w:rsidDel="00000000" w:rsidR="00000000" w:rsidRPr="00000000">
        <w:rPr>
          <w:rtl w:val="0"/>
        </w:rPr>
      </w:r>
    </w:p>
    <w:p w:rsidR="00000000" w:rsidDel="00000000" w:rsidP="00000000" w:rsidRDefault="00000000" w:rsidRPr="00000000" w14:paraId="0000002F">
      <w:pPr>
        <w:keepNext w:val="1"/>
        <w:numPr>
          <w:ilvl w:val="1"/>
          <w:numId w:val="32"/>
        </w:numPr>
        <w:pBdr>
          <w:top w:space="0" w:sz="0" w:val="nil"/>
          <w:left w:space="0" w:sz="0" w:val="nil"/>
          <w:bottom w:space="0" w:sz="0" w:val="nil"/>
          <w:right w:space="0" w:sz="0" w:val="nil"/>
          <w:between w:space="0" w:sz="0" w:val="nil"/>
        </w:pBdr>
        <w:spacing w:line="240" w:lineRule="auto"/>
        <w:ind w:left="0" w:hanging="2"/>
        <w:jc w:val="left"/>
        <w:rPr>
          <w:rFonts w:ascii="Calibri" w:cs="Calibri" w:eastAsia="Calibri" w:hAnsi="Calibri"/>
          <w:b w:val="1"/>
          <w:bCs w:val="1"/>
          <w:color w:val="000000"/>
          <w:sz w:val="22"/>
          <w:szCs w:val="22"/>
        </w:rPr>
      </w:pPr>
      <w:r w:rsidDel="00000000" w:rsidR="00000000" w:rsidRPr="00000000">
        <w:rPr>
          <w:rFonts w:ascii="Calibri" w:cs="Calibri" w:eastAsia="Calibri" w:hAnsi="Calibri"/>
          <w:b w:val="1"/>
          <w:bCs w:val="1"/>
          <w:color w:val="000000"/>
          <w:sz w:val="22"/>
          <w:szCs w:val="22"/>
          <w:rtl w:val="0"/>
        </w:rPr>
        <w:t xml:space="preserve">Teren budowy</w:t>
      </w:r>
    </w:p>
    <w:p w:rsidR="00000000" w:rsidDel="00000000" w:rsidP="00000000" w:rsidRDefault="00000000" w:rsidRPr="00000000" w14:paraId="00000030">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Ogólne informacje na temat terenu budowy zostały podane w ST Tom I pkt. 3. </w:t>
      </w:r>
    </w:p>
    <w:p w:rsidR="00000000" w:rsidDel="00000000" w:rsidP="00000000" w:rsidRDefault="00000000" w:rsidRPr="00000000" w14:paraId="00000031">
      <w:pPr>
        <w:keepNext w:val="1"/>
        <w:numPr>
          <w:ilvl w:val="0"/>
          <w:numId w:val="35"/>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Organizacja robót</w:t>
      </w:r>
    </w:p>
    <w:p w:rsidR="00000000" w:rsidDel="00000000" w:rsidP="00000000" w:rsidRDefault="00000000" w:rsidRPr="00000000" w14:paraId="00000032">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Przy budowie, oddawaniu do użytku i utrzymaniu obiektów budowlanych należy stosować się unormowań zawartych w Ustawie z dnia 7 lipca 1994r „Prawo budowlane” w aktualnie obowiązującej wersji.</w:t>
      </w:r>
    </w:p>
    <w:p w:rsidR="00000000" w:rsidDel="00000000" w:rsidP="00000000" w:rsidRDefault="00000000" w:rsidRPr="00000000" w14:paraId="00000033">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Informacje na temat organizacji robót budowlanych zawarto w ST tom I pkt 4.</w:t>
      </w:r>
    </w:p>
    <w:p w:rsidR="00000000" w:rsidDel="00000000" w:rsidP="00000000" w:rsidRDefault="00000000" w:rsidRPr="00000000" w14:paraId="00000034">
      <w:pPr>
        <w:keepNext w:val="1"/>
        <w:numPr>
          <w:ilvl w:val="0"/>
          <w:numId w:val="35"/>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Wprowadzenie na budowę</w:t>
      </w:r>
    </w:p>
    <w:p w:rsidR="00000000" w:rsidDel="00000000" w:rsidP="00000000" w:rsidRDefault="00000000" w:rsidRPr="00000000" w14:paraId="00000035">
      <w:pPr>
        <w:numPr>
          <w:ilvl w:val="0"/>
          <w:numId w:val="36"/>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Wprowadzenie na budowę odbywa się komisyjnie z udziałem inspektora nadzoru oraz właścicieli terenu i udokumentowane jest spisaniem protokołu.</w:t>
      </w:r>
    </w:p>
    <w:p w:rsidR="00000000" w:rsidDel="00000000" w:rsidP="00000000" w:rsidRDefault="00000000" w:rsidRPr="00000000" w14:paraId="00000036">
      <w:pPr>
        <w:numPr>
          <w:ilvl w:val="0"/>
          <w:numId w:val="36"/>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Przed przystąpieniem do wykonywania robót Wykonawca powinien otrzymać od Zamawiającego pisemne oświadczenie o uzyskaniu od właściwego organu administracji pozwolenia na budowę dla obiektu i robót budowlano – montażowych objętych zatwierdzonym projektem lub zgłoszenie budowy/wykonywania robót budowlanych, bądź kopię tych dokumentów.</w:t>
      </w:r>
    </w:p>
    <w:p w:rsidR="00000000" w:rsidDel="00000000" w:rsidP="00000000" w:rsidRDefault="00000000" w:rsidRPr="00000000" w14:paraId="00000037">
      <w:pPr>
        <w:keepNext w:val="1"/>
        <w:numPr>
          <w:ilvl w:val="0"/>
          <w:numId w:val="35"/>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Koordynacja robót</w:t>
      </w:r>
    </w:p>
    <w:p w:rsidR="00000000" w:rsidDel="00000000" w:rsidP="00000000" w:rsidRDefault="00000000" w:rsidRPr="00000000" w14:paraId="00000038">
      <w:pPr>
        <w:numPr>
          <w:ilvl w:val="0"/>
          <w:numId w:val="4"/>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Koordynacja robót budowlano - montażowych poszczególnych rodzajów powinna być dokonywana we wszystkich fazach procesu inwestycyjnego.</w:t>
      </w:r>
    </w:p>
    <w:p w:rsidR="00000000" w:rsidDel="00000000" w:rsidP="00000000" w:rsidRDefault="00000000" w:rsidRPr="00000000" w14:paraId="00000039">
      <w:pPr>
        <w:numPr>
          <w:ilvl w:val="0"/>
          <w:numId w:val="4"/>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Koordynacją należy objąć również pomocnicze roboty ogólnobudowlane związane z robotami sieci cieplnej, jeśli Wykonawca robót sanitarnych nie będzie ich wykonywać własnymi siłami, takich jak np. szalowanie wykopów itp.</w:t>
      </w:r>
    </w:p>
    <w:p w:rsidR="00000000" w:rsidDel="00000000" w:rsidP="00000000" w:rsidRDefault="00000000" w:rsidRPr="00000000" w14:paraId="0000003A">
      <w:pPr>
        <w:keepNext w:val="1"/>
        <w:numPr>
          <w:ilvl w:val="0"/>
          <w:numId w:val="35"/>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Dziennik budowy</w:t>
      </w:r>
    </w:p>
    <w:p w:rsidR="00000000" w:rsidDel="00000000" w:rsidP="00000000" w:rsidRDefault="00000000" w:rsidRPr="00000000" w14:paraId="0000003B">
      <w:pPr>
        <w:numPr>
          <w:ilvl w:val="1"/>
          <w:numId w:val="16"/>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Dziennik budowy jest wymaganym dokumentem prawnym obowiązującym Zamawiającego i Wykonawcę i winien być prowadzony od dnia rozpoczęcia robót do odbioru końcowego. Odpowiedzialność za prowadzenie dziennika budowy spoczywa na Wykonawcy.</w:t>
      </w:r>
    </w:p>
    <w:p w:rsidR="00000000" w:rsidDel="00000000" w:rsidP="00000000" w:rsidRDefault="00000000" w:rsidRPr="00000000" w14:paraId="0000003C">
      <w:pPr>
        <w:numPr>
          <w:ilvl w:val="1"/>
          <w:numId w:val="16"/>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Wykonawca ma obowiązek posiadać dziennik budowy na budowie i na bieżąco go aktualizować. W  przypadku braku urzędowego dziennika budowy Wykonawca zobowiązany jest do prowadzenia wewnętrznego dziennika VWAW otrzymanego od inspektora nadzoru.</w:t>
      </w:r>
    </w:p>
    <w:p w:rsidR="00000000" w:rsidDel="00000000" w:rsidP="00000000" w:rsidRDefault="00000000" w:rsidRPr="00000000" w14:paraId="0000003D">
      <w:pPr>
        <w:numPr>
          <w:ilvl w:val="1"/>
          <w:numId w:val="16"/>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Zasady prowadzenia dziennika budowy reguluje Rozporządzenie Ministra Rozwoju i Technologii z dnia 22 grudnia 2022 r. w sprawie dziennika budowy oraz systemu Elektroniczny Dziennik Budowy (Dz.U. nr 2023 poz. 45) </w:t>
      </w:r>
    </w:p>
    <w:p w:rsidR="00000000" w:rsidDel="00000000" w:rsidP="00000000" w:rsidRDefault="00000000" w:rsidRPr="00000000" w14:paraId="0000003E">
      <w:pPr>
        <w:keepNext w:val="1"/>
        <w:numPr>
          <w:ilvl w:val="0"/>
          <w:numId w:val="35"/>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Zabezpieczenie interesów osób trzecich</w:t>
      </w:r>
    </w:p>
    <w:p w:rsidR="00000000" w:rsidDel="00000000" w:rsidP="00000000" w:rsidRDefault="00000000" w:rsidRPr="00000000" w14:paraId="0000003F">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Sposób zabezpieczenia interesów osób trzecich został opisany w ST tom I pkt 5. </w:t>
      </w:r>
    </w:p>
    <w:p w:rsidR="00000000" w:rsidDel="00000000" w:rsidP="00000000" w:rsidRDefault="00000000" w:rsidRPr="00000000" w14:paraId="00000040">
      <w:pPr>
        <w:keepNext w:val="1"/>
        <w:numPr>
          <w:ilvl w:val="0"/>
          <w:numId w:val="35"/>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Ochrona środowiska i zdrowia ludzi</w:t>
      </w:r>
    </w:p>
    <w:p w:rsidR="00000000" w:rsidDel="00000000" w:rsidP="00000000" w:rsidRDefault="00000000" w:rsidRPr="00000000" w14:paraId="00000041">
      <w:pPr>
        <w:numPr>
          <w:ilvl w:val="0"/>
          <w:numId w:val="28"/>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Wykonawca ma obowiązek znać wszystkie przepisy dotyczące ochrony środowiska naturalnego i stosować je w czasie prowadzenia robót.</w:t>
      </w:r>
    </w:p>
    <w:p w:rsidR="00000000" w:rsidDel="00000000" w:rsidP="00000000" w:rsidRDefault="00000000" w:rsidRPr="00000000" w14:paraId="00000042">
      <w:pPr>
        <w:numPr>
          <w:ilvl w:val="0"/>
          <w:numId w:val="28"/>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W szczególności Wykonawca zapewni spełnienie następujących warunków:</w:t>
      </w:r>
    </w:p>
    <w:p w:rsidR="00000000" w:rsidDel="00000000" w:rsidP="00000000" w:rsidRDefault="00000000" w:rsidRPr="00000000" w14:paraId="00000043">
      <w:pPr>
        <w:numPr>
          <w:ilvl w:val="0"/>
          <w:numId w:val="33"/>
        </w:numPr>
        <w:pBdr>
          <w:top w:space="0" w:sz="0" w:val="nil"/>
          <w:left w:space="0" w:sz="0" w:val="nil"/>
          <w:bottom w:space="0" w:sz="0" w:val="nil"/>
          <w:right w:space="0" w:sz="0" w:val="nil"/>
          <w:between w:space="0" w:sz="0" w:val="nil"/>
        </w:pBdr>
        <w:spacing w:after="0"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miejsca na bazy, magazyny, składowiska będą tak wybrane, aby nie powodowały zniszczeń w środowisku naturalnym;</w:t>
      </w:r>
    </w:p>
    <w:p w:rsidR="00000000" w:rsidDel="00000000" w:rsidP="00000000" w:rsidRDefault="00000000" w:rsidRPr="00000000" w14:paraId="00000044">
      <w:pPr>
        <w:numPr>
          <w:ilvl w:val="0"/>
          <w:numId w:val="33"/>
        </w:numPr>
        <w:pBdr>
          <w:top w:space="0" w:sz="0" w:val="nil"/>
          <w:left w:space="0" w:sz="0" w:val="nil"/>
          <w:bottom w:space="0" w:sz="0" w:val="nil"/>
          <w:right w:space="0" w:sz="0" w:val="nil"/>
          <w:between w:space="0" w:sz="0" w:val="nil"/>
        </w:pBdr>
        <w:spacing w:after="0"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będą podjęte odpowiednie środki zabezpieczające przed:</w:t>
      </w:r>
    </w:p>
    <w:p w:rsidR="00000000" w:rsidDel="00000000" w:rsidP="00000000" w:rsidRDefault="00000000" w:rsidRPr="00000000" w14:paraId="00000045">
      <w:pPr>
        <w:numPr>
          <w:ilvl w:val="2"/>
          <w:numId w:val="37"/>
        </w:numPr>
        <w:pBdr>
          <w:top w:space="0" w:sz="0" w:val="nil"/>
          <w:left w:space="0" w:sz="0" w:val="nil"/>
          <w:bottom w:space="0" w:sz="0" w:val="nil"/>
          <w:right w:space="0" w:sz="0" w:val="nil"/>
          <w:between w:space="0" w:sz="0" w:val="nil"/>
        </w:pBdr>
        <w:spacing w:after="0"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przekroczeniem dopuszczalnych norm hałasu;</w:t>
      </w:r>
    </w:p>
    <w:p w:rsidR="00000000" w:rsidDel="00000000" w:rsidP="00000000" w:rsidRDefault="00000000" w:rsidRPr="00000000" w14:paraId="00000046">
      <w:pPr>
        <w:numPr>
          <w:ilvl w:val="2"/>
          <w:numId w:val="37"/>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możliwością powstania pożaru.</w:t>
      </w:r>
    </w:p>
    <w:p w:rsidR="00000000" w:rsidDel="00000000" w:rsidP="00000000" w:rsidRDefault="00000000" w:rsidRPr="00000000" w14:paraId="00000047">
      <w:pPr>
        <w:numPr>
          <w:ilvl w:val="0"/>
          <w:numId w:val="28"/>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Osoby trzecie oraz osoby wykonujące roboty budowlane nie mogą być narażone na działanie czynników szkodliwych dla zdrowia lub niebezpiecznych, a w szczególności takich jak hałas, wibracje, promieniowanie elektromagnetyczne, pyły i gazy o natężeniach i stężeniach przekraczających wartości dopuszczalne.</w:t>
      </w:r>
    </w:p>
    <w:p w:rsidR="00000000" w:rsidDel="00000000" w:rsidP="00000000" w:rsidRDefault="00000000" w:rsidRPr="00000000" w14:paraId="00000048">
      <w:pPr>
        <w:numPr>
          <w:ilvl w:val="0"/>
          <w:numId w:val="28"/>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Opłaty i ewentualne kary za przekroczenie w trakcie realizacji norm określonych w odpowiednich przepisach dotyczących ochrony środowiska </w:t>
      </w:r>
      <w:r w:rsidDel="00000000" w:rsidR="00000000" w:rsidRPr="00000000">
        <w:rPr>
          <w:rFonts w:ascii="Calibri" w:cs="Calibri" w:eastAsia="Calibri" w:hAnsi="Calibri"/>
          <w:sz w:val="22"/>
          <w:szCs w:val="22"/>
          <w:rtl w:val="0"/>
        </w:rPr>
        <w:t xml:space="preserve">obciążają</w:t>
      </w:r>
      <w:r w:rsidDel="00000000" w:rsidR="00000000" w:rsidRPr="00000000">
        <w:rPr>
          <w:rFonts w:ascii="Calibri" w:cs="Calibri" w:eastAsia="Calibri" w:hAnsi="Calibri"/>
          <w:color w:val="000000"/>
          <w:sz w:val="22"/>
          <w:szCs w:val="22"/>
          <w:rtl w:val="0"/>
        </w:rPr>
        <w:t xml:space="preserve"> Wykonawcę.</w:t>
      </w:r>
    </w:p>
    <w:p w:rsidR="00000000" w:rsidDel="00000000" w:rsidP="00000000" w:rsidRDefault="00000000" w:rsidRPr="00000000" w14:paraId="00000049">
      <w:pPr>
        <w:keepNext w:val="1"/>
        <w:numPr>
          <w:ilvl w:val="0"/>
          <w:numId w:val="35"/>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Materiały szkodliwe dla otoczenia</w:t>
      </w:r>
    </w:p>
    <w:p w:rsidR="00000000" w:rsidDel="00000000" w:rsidP="00000000" w:rsidRDefault="00000000" w:rsidRPr="00000000" w14:paraId="0000004A">
      <w:pPr>
        <w:numPr>
          <w:ilvl w:val="1"/>
          <w:numId w:val="38"/>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Materiały, które w sposób trwały są szkodliwe dla otoczenia, nie będą dopuszczone do użycia.</w:t>
      </w:r>
    </w:p>
    <w:p w:rsidR="00000000" w:rsidDel="00000000" w:rsidP="00000000" w:rsidRDefault="00000000" w:rsidRPr="00000000" w14:paraId="0000004B">
      <w:pPr>
        <w:numPr>
          <w:ilvl w:val="1"/>
          <w:numId w:val="38"/>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Nie dopuszcza się używania materiałów wywołujących szkodliwe promieniowanie o stężeniu większym, niż dopuszczalne.</w:t>
      </w:r>
    </w:p>
    <w:p w:rsidR="00000000" w:rsidDel="00000000" w:rsidP="00000000" w:rsidRDefault="00000000" w:rsidRPr="00000000" w14:paraId="0000004C">
      <w:pPr>
        <w:numPr>
          <w:ilvl w:val="1"/>
          <w:numId w:val="38"/>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Materiały, które są szkodliwe dla otoczenia tylko w zakresie robót, a po zakończeniu robót ich szkodliwość zanika, mogą być użyte pod warunkiem przestrzegania wymagań technologicznych przy ich wbudowaniu.</w:t>
      </w:r>
    </w:p>
    <w:p w:rsidR="00000000" w:rsidDel="00000000" w:rsidP="00000000" w:rsidRDefault="00000000" w:rsidRPr="00000000" w14:paraId="0000004D">
      <w:pPr>
        <w:numPr>
          <w:ilvl w:val="1"/>
          <w:numId w:val="38"/>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Jeśli Wykonawca użył materiałów szkodliwych dla otoczenia zgodnie z Dokumentacją Techniczną, a ich użycie spowodowało jakiekolwiek zagrożenie środowiska, to konsekwencje tego poniesie Zamawiający.</w:t>
      </w:r>
    </w:p>
    <w:p w:rsidR="00000000" w:rsidDel="00000000" w:rsidP="00000000" w:rsidRDefault="00000000" w:rsidRPr="00000000" w14:paraId="0000004E">
      <w:pPr>
        <w:numPr>
          <w:ilvl w:val="1"/>
          <w:numId w:val="38"/>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Zasady postępowania z materiałami zawierającymi azbest zawarte są w ST tom I pkt 6.2.</w:t>
      </w:r>
    </w:p>
    <w:p w:rsidR="00000000" w:rsidDel="00000000" w:rsidP="00000000" w:rsidRDefault="00000000" w:rsidRPr="00000000" w14:paraId="0000004F">
      <w:pPr>
        <w:keepNext w:val="1"/>
        <w:numPr>
          <w:ilvl w:val="0"/>
          <w:numId w:val="35"/>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Ochrona przeciwpożarowa</w:t>
      </w:r>
    </w:p>
    <w:p w:rsidR="00000000" w:rsidDel="00000000" w:rsidP="00000000" w:rsidRDefault="00000000" w:rsidRPr="00000000" w14:paraId="00000050">
      <w:pPr>
        <w:numPr>
          <w:ilvl w:val="0"/>
          <w:numId w:val="39"/>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sz w:val="22"/>
          <w:szCs w:val="22"/>
          <w:rtl w:val="0"/>
        </w:rPr>
        <w:t xml:space="preserve">W</w:t>
      </w:r>
      <w:r w:rsidDel="00000000" w:rsidR="00000000" w:rsidRPr="00000000">
        <w:rPr>
          <w:rFonts w:ascii="Calibri" w:cs="Calibri" w:eastAsia="Calibri" w:hAnsi="Calibri"/>
          <w:color w:val="000000"/>
          <w:sz w:val="22"/>
          <w:szCs w:val="22"/>
          <w:rtl w:val="0"/>
        </w:rPr>
        <w:t xml:space="preserve">ykonawca ma obowiązek znać i przestrzegać wszystkich przepisów dotyczących ochrony przeciwpożarowej.</w:t>
      </w:r>
    </w:p>
    <w:p w:rsidR="00000000" w:rsidDel="00000000" w:rsidP="00000000" w:rsidRDefault="00000000" w:rsidRPr="00000000" w14:paraId="00000051">
      <w:pPr>
        <w:numPr>
          <w:ilvl w:val="0"/>
          <w:numId w:val="39"/>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Wykonawca będzie utrzymywał sprawny sprzęt przeciwpożarowy wymagany odpowiednimi przepisami.</w:t>
      </w:r>
    </w:p>
    <w:p w:rsidR="00000000" w:rsidDel="00000000" w:rsidP="00000000" w:rsidRDefault="00000000" w:rsidRPr="00000000" w14:paraId="00000052">
      <w:pPr>
        <w:numPr>
          <w:ilvl w:val="0"/>
          <w:numId w:val="39"/>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Materiały łatwopalne muszą być składowane w sposób zgodny z odpowiednimi przepisami oraz zabezpieczone przed dostępem osób trzecich.</w:t>
      </w:r>
    </w:p>
    <w:p w:rsidR="00000000" w:rsidDel="00000000" w:rsidP="00000000" w:rsidRDefault="00000000" w:rsidRPr="00000000" w14:paraId="00000053">
      <w:pPr>
        <w:numPr>
          <w:ilvl w:val="0"/>
          <w:numId w:val="39"/>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Wykonawca będzie odpowiedzialny za wszelkie straty spowodowane pożarem wywołanym w efekcie realizacji robót albo przez personel Wykonawcy.</w:t>
      </w:r>
    </w:p>
    <w:p w:rsidR="00000000" w:rsidDel="00000000" w:rsidP="00000000" w:rsidRDefault="00000000" w:rsidRPr="00000000" w14:paraId="00000054">
      <w:pPr>
        <w:keepNext w:val="1"/>
        <w:numPr>
          <w:ilvl w:val="0"/>
          <w:numId w:val="35"/>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Bezpieczeństwo i higiena pracy</w:t>
      </w:r>
    </w:p>
    <w:p w:rsidR="00000000" w:rsidDel="00000000" w:rsidP="00000000" w:rsidRDefault="00000000" w:rsidRPr="00000000" w14:paraId="00000055">
      <w:pPr>
        <w:numPr>
          <w:ilvl w:val="1"/>
          <w:numId w:val="41"/>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Przy wykonywaniu robót związanych z budową lub przebudową sieci ciepłowniczej Wykonawca zobowiązany jest do przestrzegania ogólnych przepisów w zakresie bezpieczeństwa i higieny pracy, a w szczególności Rozporządzenia Ministra Infrastruktury z dnia 6 lutego 2003r w sprawie bezpieczeństwa i higieny pracy podczas wykonywania robót budowlanych (Dz.U. 2003 Nr 47 poz.401). W szczególności Wykonawca ma obowiązek zadbać, aby personel nie wykonywał pracy w warunkach niebezpiecznych, bądź szkodliwych dla zdrowia oraz </w:t>
      </w:r>
      <w:r w:rsidDel="00000000" w:rsidR="00000000" w:rsidRPr="00000000">
        <w:rPr>
          <w:rFonts w:ascii="Calibri" w:cs="Calibri" w:eastAsia="Calibri" w:hAnsi="Calibri"/>
          <w:sz w:val="22"/>
          <w:szCs w:val="22"/>
          <w:rtl w:val="0"/>
        </w:rPr>
        <w:t xml:space="preserve">niespełniających</w:t>
      </w:r>
      <w:r w:rsidDel="00000000" w:rsidR="00000000" w:rsidRPr="00000000">
        <w:rPr>
          <w:rFonts w:ascii="Calibri" w:cs="Calibri" w:eastAsia="Calibri" w:hAnsi="Calibri"/>
          <w:color w:val="000000"/>
          <w:sz w:val="22"/>
          <w:szCs w:val="22"/>
          <w:rtl w:val="0"/>
        </w:rPr>
        <w:t xml:space="preserve"> odpowiednich wymagań sanitarnych.</w:t>
      </w:r>
    </w:p>
    <w:p w:rsidR="00000000" w:rsidDel="00000000" w:rsidP="00000000" w:rsidRDefault="00000000" w:rsidRPr="00000000" w14:paraId="00000056">
      <w:pPr>
        <w:numPr>
          <w:ilvl w:val="1"/>
          <w:numId w:val="41"/>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Wykonawca przed przystąpieniem do wykonywania robót jest obowiązany opracować Instrukcję Bezpiecznego Wykonywania Robót zgodnie z Rozporządzeniem Ministra Infrastruktury z dnia 6 lutego 2003 r. w sprawie bezpieczeństwa i higieny pracy podczas wykonywania robót budowlanych i zaznajomić z nią pracowników w zakresie wykonywanych przez nich robót.</w:t>
      </w:r>
    </w:p>
    <w:p w:rsidR="00000000" w:rsidDel="00000000" w:rsidP="00000000" w:rsidRDefault="00000000" w:rsidRPr="00000000" w14:paraId="00000057">
      <w:pPr>
        <w:numPr>
          <w:ilvl w:val="1"/>
          <w:numId w:val="41"/>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Wykonawca zapewni i utrzyma wszelkie urządzenia zabezpieczające oraz sprzęt i odpowiednią odzież dla ochrony życia i zdrowia osób zatrudnionych na placu budowy oraz dla zapewnienia bezpieczeństwa publicznego.</w:t>
      </w:r>
    </w:p>
    <w:p w:rsidR="00000000" w:rsidDel="00000000" w:rsidP="00000000" w:rsidRDefault="00000000" w:rsidRPr="00000000" w14:paraId="00000058">
      <w:pPr>
        <w:numPr>
          <w:ilvl w:val="1"/>
          <w:numId w:val="41"/>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Wszystkie osoby przebywające na terenie budowy obowiązuje stosowanie niezbędnych środków ochrony indywidualnej.</w:t>
      </w:r>
    </w:p>
    <w:p w:rsidR="00000000" w:rsidDel="00000000" w:rsidP="00000000" w:rsidRDefault="00000000" w:rsidRPr="00000000" w14:paraId="00000059">
      <w:pPr>
        <w:numPr>
          <w:ilvl w:val="1"/>
          <w:numId w:val="41"/>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Używane na budowie maszyny i urządzenia należy zabezpieczyć przed możliwością uruchomienia przez osoby nieuprawnione do ich obsługi.</w:t>
      </w:r>
    </w:p>
    <w:p w:rsidR="00000000" w:rsidDel="00000000" w:rsidP="00000000" w:rsidRDefault="00000000" w:rsidRPr="00000000" w14:paraId="0000005A">
      <w:pPr>
        <w:numPr>
          <w:ilvl w:val="1"/>
          <w:numId w:val="41"/>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Wykonawca powinien posiadać aktualne uprawnienia do wykonywania prac, których się podejmuje. Roboty związane z podłączaniem, sprawdzaniem i naprawą instalacji i urządzeń sieci cieplnej mogą być wykonywane wyłącznie przez osoby posiadające odpowiednie uprawnienia.</w:t>
      </w:r>
    </w:p>
    <w:p w:rsidR="00000000" w:rsidDel="00000000" w:rsidP="00000000" w:rsidRDefault="00000000" w:rsidRPr="00000000" w14:paraId="0000005B">
      <w:pPr>
        <w:numPr>
          <w:ilvl w:val="1"/>
          <w:numId w:val="41"/>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Kwalifikacje personelu Wykonawcy robót ciepłowniczych przy układaniu sieci cieplnych powinny być </w:t>
      </w:r>
      <w:r w:rsidDel="00000000" w:rsidR="00000000" w:rsidRPr="00000000">
        <w:rPr>
          <w:rFonts w:ascii="Calibri" w:cs="Calibri" w:eastAsia="Calibri" w:hAnsi="Calibri"/>
          <w:sz w:val="22"/>
          <w:szCs w:val="22"/>
          <w:rtl w:val="0"/>
        </w:rPr>
        <w:t xml:space="preserve">potwierdzone</w:t>
      </w:r>
      <w:r w:rsidDel="00000000" w:rsidR="00000000" w:rsidRPr="00000000">
        <w:rPr>
          <w:rFonts w:ascii="Calibri" w:cs="Calibri" w:eastAsia="Calibri" w:hAnsi="Calibri"/>
          <w:color w:val="000000"/>
          <w:sz w:val="22"/>
          <w:szCs w:val="22"/>
          <w:rtl w:val="0"/>
        </w:rPr>
        <w:t xml:space="preserve"> przez właściwą komisję egzaminacyjną i udokumentowane aktualnie ważnymi zaświadczeniami kwalifikacyjnymi.</w:t>
      </w:r>
    </w:p>
    <w:p w:rsidR="00000000" w:rsidDel="00000000" w:rsidP="00000000" w:rsidRDefault="00000000" w:rsidRPr="00000000" w14:paraId="0000005C">
      <w:pPr>
        <w:numPr>
          <w:ilvl w:val="1"/>
          <w:numId w:val="41"/>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Wykonawca ma obowiązek wykonywać roboty zgodnie z „Wymaganiami bhp, ppoż. i ochrona środowiska” stanowiącym załącznik nr 4 do Umowy.</w:t>
      </w:r>
    </w:p>
    <w:p w:rsidR="00000000" w:rsidDel="00000000" w:rsidP="00000000" w:rsidRDefault="00000000" w:rsidRPr="00000000" w14:paraId="0000005D">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bookmarkStart w:colFirst="0" w:colLast="0" w:name="_heading=h.2et92p0" w:id="6"/>
      <w:bookmarkEnd w:id="6"/>
      <w:r w:rsidDel="00000000" w:rsidR="00000000" w:rsidRPr="00000000">
        <w:rPr>
          <w:rtl w:val="0"/>
        </w:rPr>
      </w:r>
    </w:p>
    <w:p w:rsidR="00000000" w:rsidDel="00000000" w:rsidP="00000000" w:rsidRDefault="00000000" w:rsidRPr="00000000" w14:paraId="0000005E">
      <w:pPr>
        <w:keepNext w:val="1"/>
        <w:numPr>
          <w:ilvl w:val="1"/>
          <w:numId w:val="32"/>
        </w:numPr>
        <w:pBdr>
          <w:top w:space="0" w:sz="0" w:val="nil"/>
          <w:left w:space="0" w:sz="0" w:val="nil"/>
          <w:bottom w:space="0" w:sz="0" w:val="nil"/>
          <w:right w:space="0" w:sz="0" w:val="nil"/>
          <w:between w:space="0" w:sz="0" w:val="nil"/>
        </w:pBdr>
        <w:spacing w:line="240" w:lineRule="auto"/>
        <w:ind w:left="0" w:hanging="2"/>
        <w:jc w:val="left"/>
        <w:rPr>
          <w:rFonts w:ascii="Calibri" w:cs="Calibri" w:eastAsia="Calibri" w:hAnsi="Calibri"/>
          <w:b w:val="1"/>
          <w:bCs w:val="1"/>
          <w:color w:val="000000"/>
          <w:sz w:val="22"/>
          <w:szCs w:val="22"/>
        </w:rPr>
      </w:pPr>
      <w:r w:rsidDel="00000000" w:rsidR="00000000" w:rsidRPr="00000000">
        <w:rPr>
          <w:rFonts w:ascii="Calibri" w:cs="Calibri" w:eastAsia="Calibri" w:hAnsi="Calibri"/>
          <w:b w:val="1"/>
          <w:bCs w:val="1"/>
          <w:color w:val="000000"/>
          <w:sz w:val="22"/>
          <w:szCs w:val="22"/>
          <w:rtl w:val="0"/>
        </w:rPr>
        <w:t xml:space="preserve">Określenia podstawowe</w:t>
      </w:r>
    </w:p>
    <w:p w:rsidR="00000000" w:rsidDel="00000000" w:rsidP="00000000" w:rsidRDefault="00000000" w:rsidRPr="00000000" w14:paraId="0000005F">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Określenia podstawowe podano w ST tom I pkt 12. Pozostałe, nieokreślone w ST, są zgodne z obowiązującymi polskimi normami.  W dokumentacji projektowej i niniejszej specyfikacji technicznej nie występują pojęcia i określenia nigdzie wcześniej nie zdefiniowane.</w:t>
      </w:r>
    </w:p>
    <w:p w:rsidR="00000000" w:rsidDel="00000000" w:rsidP="00000000" w:rsidRDefault="00000000" w:rsidRPr="00000000" w14:paraId="00000060">
      <w:pPr>
        <w:pBdr>
          <w:top w:space="0" w:sz="0" w:val="nil"/>
          <w:left w:space="0" w:sz="0" w:val="nil"/>
          <w:bottom w:space="0" w:sz="0" w:val="nil"/>
          <w:right w:space="0" w:sz="0" w:val="nil"/>
          <w:between w:space="0" w:sz="0" w:val="nil"/>
        </w:pBdr>
        <w:spacing w:after="0" w:line="240" w:lineRule="auto"/>
        <w:ind w:left="0" w:hanging="2"/>
        <w:rPr>
          <w:rFonts w:ascii="Calibri" w:cs="Calibri" w:eastAsia="Calibri" w:hAnsi="Calibri"/>
          <w:color w:val="000000"/>
          <w:sz w:val="22"/>
          <w:szCs w:val="22"/>
        </w:rPr>
      </w:pPr>
      <w:bookmarkStart w:colFirst="0" w:colLast="0" w:name="_heading=h.tyjcwt" w:id="7"/>
      <w:bookmarkEnd w:id="7"/>
      <w:r w:rsidDel="00000000" w:rsidR="00000000" w:rsidRPr="00000000">
        <w:rPr>
          <w:rtl w:val="0"/>
        </w:rPr>
      </w:r>
    </w:p>
    <w:p w:rsidR="00000000" w:rsidDel="00000000" w:rsidP="00000000" w:rsidRDefault="00000000" w:rsidRPr="00000000" w14:paraId="00000061">
      <w:pPr>
        <w:keepNext w:val="1"/>
        <w:numPr>
          <w:ilvl w:val="1"/>
          <w:numId w:val="32"/>
        </w:numPr>
        <w:pBdr>
          <w:top w:space="0" w:sz="0" w:val="nil"/>
          <w:left w:space="0" w:sz="0" w:val="nil"/>
          <w:bottom w:space="0" w:sz="0" w:val="nil"/>
          <w:right w:space="0" w:sz="0" w:val="nil"/>
          <w:between w:space="0" w:sz="0" w:val="nil"/>
        </w:pBdr>
        <w:spacing w:line="240" w:lineRule="auto"/>
        <w:ind w:left="0" w:hanging="2"/>
        <w:jc w:val="left"/>
        <w:rPr>
          <w:rFonts w:ascii="Calibri" w:cs="Calibri" w:eastAsia="Calibri" w:hAnsi="Calibri"/>
          <w:b w:val="1"/>
          <w:bCs w:val="1"/>
          <w:color w:val="000000"/>
          <w:sz w:val="22"/>
          <w:szCs w:val="22"/>
        </w:rPr>
      </w:pPr>
      <w:r w:rsidDel="00000000" w:rsidR="00000000" w:rsidRPr="00000000">
        <w:rPr>
          <w:rFonts w:ascii="Calibri" w:cs="Calibri" w:eastAsia="Calibri" w:hAnsi="Calibri"/>
          <w:b w:val="1"/>
          <w:bCs w:val="1"/>
          <w:color w:val="000000"/>
          <w:sz w:val="22"/>
          <w:szCs w:val="22"/>
          <w:rtl w:val="0"/>
        </w:rPr>
        <w:t xml:space="preserve">Grupy, klasy i kategorie robót:</w:t>
      </w:r>
    </w:p>
    <w:p w:rsidR="00000000" w:rsidDel="00000000" w:rsidP="00000000" w:rsidRDefault="00000000" w:rsidRPr="00000000" w14:paraId="00000062">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Zakres robót objęty projektem, zgodnie ze Wspólnym Słownikiem Zamówień jest zawarty ST tom I pkt 11. </w:t>
      </w:r>
    </w:p>
    <w:p w:rsidR="00000000" w:rsidDel="00000000" w:rsidP="00000000" w:rsidRDefault="00000000" w:rsidRPr="00000000" w14:paraId="00000063">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bookmarkStart w:colFirst="0" w:colLast="0" w:name="_heading=h.3dy6vkm" w:id="8"/>
      <w:bookmarkEnd w:id="8"/>
      <w:r w:rsidDel="00000000" w:rsidR="00000000" w:rsidRPr="00000000">
        <w:rPr>
          <w:rFonts w:ascii="Calibri" w:cs="Calibri" w:eastAsia="Calibri" w:hAnsi="Calibri"/>
          <w:color w:val="000000"/>
          <w:sz w:val="22"/>
          <w:szCs w:val="22"/>
          <w:rtl w:val="0"/>
        </w:rPr>
        <w:t xml:space="preserve"> </w:t>
      </w:r>
    </w:p>
    <w:p w:rsidR="00000000" w:rsidDel="00000000" w:rsidP="00000000" w:rsidRDefault="00000000" w:rsidRPr="00000000" w14:paraId="00000064">
      <w:pPr>
        <w:keepNext w:val="1"/>
        <w:widowControl w:val="0"/>
        <w:numPr>
          <w:ilvl w:val="0"/>
          <w:numId w:val="24"/>
        </w:numPr>
        <w:pBdr>
          <w:top w:space="0" w:sz="0" w:val="nil"/>
          <w:left w:space="0" w:sz="0" w:val="nil"/>
          <w:bottom w:space="0" w:sz="0" w:val="nil"/>
          <w:right w:space="0" w:sz="0" w:val="nil"/>
          <w:between w:space="0" w:sz="0" w:val="nil"/>
        </w:pBdr>
        <w:spacing w:after="0" w:line="276" w:lineRule="auto"/>
        <w:ind w:left="0" w:hanging="2"/>
        <w:jc w:val="left"/>
        <w:rPr>
          <w:rFonts w:ascii="Calibri" w:cs="Calibri" w:eastAsia="Calibri" w:hAnsi="Calibri"/>
          <w:b w:val="1"/>
          <w:bCs w:val="1"/>
          <w:color w:val="000000"/>
        </w:rPr>
      </w:pPr>
      <w:r w:rsidDel="00000000" w:rsidR="00000000" w:rsidRPr="00000000">
        <w:rPr>
          <w:rFonts w:ascii="Calibri" w:cs="Calibri" w:eastAsia="Calibri" w:hAnsi="Calibri"/>
          <w:b w:val="1"/>
          <w:bCs w:val="1"/>
          <w:color w:val="000000"/>
          <w:rtl w:val="0"/>
        </w:rPr>
        <w:t xml:space="preserve">KONTROLA JAKOŚCI, WYMAGANIA DOTYCZĄCE WŁAŚCIWOŚCI WYROBÓW BUDOWLANYCH</w:t>
      </w:r>
    </w:p>
    <w:p w:rsidR="00000000" w:rsidDel="00000000" w:rsidP="00000000" w:rsidRDefault="00000000" w:rsidRPr="00000000" w14:paraId="00000065">
      <w:pPr>
        <w:pBdr>
          <w:top w:space="0" w:sz="0" w:val="nil"/>
          <w:left w:space="0" w:sz="0" w:val="nil"/>
          <w:bottom w:space="0" w:sz="0" w:val="nil"/>
          <w:right w:space="0" w:sz="0" w:val="nil"/>
          <w:between w:space="0" w:sz="0" w:val="nil"/>
        </w:pBdr>
        <w:spacing w:after="0" w:line="240" w:lineRule="auto"/>
        <w:ind w:left="0" w:hanging="2"/>
        <w:rPr>
          <w:rFonts w:ascii="Calibri" w:cs="Calibri" w:eastAsia="Calibri" w:hAnsi="Calibri"/>
          <w:color w:val="000000"/>
          <w:sz w:val="22"/>
          <w:szCs w:val="22"/>
        </w:rPr>
      </w:pPr>
      <w:bookmarkStart w:colFirst="0" w:colLast="0" w:name="_heading=h.1t3h5sf" w:id="9"/>
      <w:bookmarkEnd w:id="9"/>
      <w:r w:rsidDel="00000000" w:rsidR="00000000" w:rsidRPr="00000000">
        <w:rPr>
          <w:rtl w:val="0"/>
        </w:rPr>
      </w:r>
    </w:p>
    <w:p w:rsidR="00000000" w:rsidDel="00000000" w:rsidP="00000000" w:rsidRDefault="00000000" w:rsidRPr="00000000" w14:paraId="00000066">
      <w:pPr>
        <w:keepNext w:val="1"/>
        <w:numPr>
          <w:ilvl w:val="1"/>
          <w:numId w:val="24"/>
        </w:numPr>
        <w:pBdr>
          <w:top w:space="0" w:sz="0" w:val="nil"/>
          <w:left w:space="0" w:sz="0" w:val="nil"/>
          <w:bottom w:space="0" w:sz="0" w:val="nil"/>
          <w:right w:space="0" w:sz="0" w:val="nil"/>
          <w:between w:space="0" w:sz="0" w:val="nil"/>
        </w:pBdr>
        <w:spacing w:line="240" w:lineRule="auto"/>
        <w:ind w:left="0" w:hanging="2"/>
        <w:jc w:val="left"/>
        <w:rPr>
          <w:rFonts w:ascii="Calibri" w:cs="Calibri" w:eastAsia="Calibri" w:hAnsi="Calibri"/>
          <w:b w:val="1"/>
          <w:bCs w:val="1"/>
          <w:color w:val="000000"/>
          <w:sz w:val="22"/>
          <w:szCs w:val="22"/>
        </w:rPr>
      </w:pPr>
      <w:r w:rsidDel="00000000" w:rsidR="00000000" w:rsidRPr="00000000">
        <w:rPr>
          <w:rFonts w:ascii="Calibri" w:cs="Calibri" w:eastAsia="Calibri" w:hAnsi="Calibri"/>
          <w:b w:val="1"/>
          <w:bCs w:val="1"/>
          <w:color w:val="000000"/>
          <w:sz w:val="22"/>
          <w:szCs w:val="22"/>
          <w:rtl w:val="0"/>
        </w:rPr>
        <w:t xml:space="preserve">Kontrola jakości</w:t>
      </w:r>
    </w:p>
    <w:p w:rsidR="00000000" w:rsidDel="00000000" w:rsidP="00000000" w:rsidRDefault="00000000" w:rsidRPr="00000000" w14:paraId="00000067">
      <w:pPr>
        <w:numPr>
          <w:ilvl w:val="0"/>
          <w:numId w:val="12"/>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Zastosowane w obiekcie urządzenia i materiały muszą posiadać zgodne z przepisami świadectwa badań technicznych, certyfikaty zgodności i świadectwa dopuszczenia.</w:t>
      </w:r>
    </w:p>
    <w:p w:rsidR="00000000" w:rsidDel="00000000" w:rsidP="00000000" w:rsidRDefault="00000000" w:rsidRPr="00000000" w14:paraId="00000068">
      <w:pPr>
        <w:numPr>
          <w:ilvl w:val="0"/>
          <w:numId w:val="12"/>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Powinny być stosowane wyroby oznaczone znakiem zgodności z Polską Normą. Dopuszcza się stosowanie wyrobów, dla których Producent lub Dostawca zadeklarował ich zgodność z Polskimi Normami deklaracją zgodności wydaną na własną odpowiedzialność. Zamawiający dopuszcza wyroby spełniające wymogi innych norm a posiadających cechy równoważne oraz standardy i parametry określone w przywoływanych opracowaniach Polskich Norm </w:t>
      </w:r>
      <w:r w:rsidDel="00000000" w:rsidR="00000000" w:rsidRPr="00000000">
        <w:rPr>
          <w:rFonts w:ascii="Calibri" w:cs="Calibri" w:eastAsia="Calibri" w:hAnsi="Calibri"/>
          <w:i w:val="1"/>
          <w:iCs w:val="1"/>
          <w:color w:val="000000"/>
          <w:sz w:val="22"/>
          <w:szCs w:val="22"/>
          <w:rtl w:val="0"/>
        </w:rPr>
        <w:t xml:space="preserve">(PN)</w:t>
      </w:r>
      <w:r w:rsidDel="00000000" w:rsidR="00000000" w:rsidRPr="00000000">
        <w:rPr>
          <w:rFonts w:ascii="Calibri" w:cs="Calibri" w:eastAsia="Calibri" w:hAnsi="Calibri"/>
          <w:color w:val="000000"/>
          <w:sz w:val="22"/>
          <w:szCs w:val="22"/>
          <w:rtl w:val="0"/>
        </w:rPr>
        <w:t xml:space="preserve">.</w:t>
      </w:r>
    </w:p>
    <w:p w:rsidR="00000000" w:rsidDel="00000000" w:rsidP="00000000" w:rsidRDefault="00000000" w:rsidRPr="00000000" w14:paraId="00000069">
      <w:pPr>
        <w:numPr>
          <w:ilvl w:val="0"/>
          <w:numId w:val="12"/>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W obiekcie mogą być zastosowane wyroby budowlane:</w:t>
      </w:r>
    </w:p>
    <w:p w:rsidR="00000000" w:rsidDel="00000000" w:rsidP="00000000" w:rsidRDefault="00000000" w:rsidRPr="00000000" w14:paraId="0000006A">
      <w:pPr>
        <w:numPr>
          <w:ilvl w:val="0"/>
          <w:numId w:val="23"/>
        </w:numPr>
        <w:pBdr>
          <w:top w:space="0" w:sz="0" w:val="nil"/>
          <w:left w:space="0" w:sz="0" w:val="nil"/>
          <w:bottom w:space="0" w:sz="0" w:val="nil"/>
          <w:right w:space="0" w:sz="0" w:val="nil"/>
          <w:between w:space="0" w:sz="0" w:val="nil"/>
        </w:pBdr>
        <w:spacing w:after="0"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oznakowane CE (deklaracja zgodności CE);</w:t>
      </w:r>
    </w:p>
    <w:p w:rsidR="00000000" w:rsidDel="00000000" w:rsidP="00000000" w:rsidRDefault="00000000" w:rsidRPr="00000000" w14:paraId="0000006B">
      <w:pPr>
        <w:numPr>
          <w:ilvl w:val="0"/>
          <w:numId w:val="23"/>
        </w:numPr>
        <w:pBdr>
          <w:top w:space="0" w:sz="0" w:val="nil"/>
          <w:left w:space="0" w:sz="0" w:val="nil"/>
          <w:bottom w:space="0" w:sz="0" w:val="nil"/>
          <w:right w:space="0" w:sz="0" w:val="nil"/>
          <w:between w:space="0" w:sz="0" w:val="nil"/>
        </w:pBdr>
        <w:spacing w:after="0"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oznakowane znakiem budowlanym B (certyfikat);</w:t>
      </w:r>
    </w:p>
    <w:p w:rsidR="00000000" w:rsidDel="00000000" w:rsidP="00000000" w:rsidRDefault="00000000" w:rsidRPr="00000000" w14:paraId="0000006C">
      <w:pPr>
        <w:numPr>
          <w:ilvl w:val="0"/>
          <w:numId w:val="23"/>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a"/>
          <w:sz w:val="22"/>
          <w:szCs w:val="22"/>
        </w:rPr>
      </w:pPr>
      <w:r w:rsidDel="00000000" w:rsidR="00000000" w:rsidRPr="00000000">
        <w:rPr>
          <w:rFonts w:ascii="Calibri" w:cs="Calibri" w:eastAsia="Calibri" w:hAnsi="Calibri"/>
          <w:color w:val="000000"/>
          <w:sz w:val="22"/>
          <w:szCs w:val="22"/>
          <w:rtl w:val="0"/>
        </w:rPr>
        <w:t xml:space="preserve">posiadające oświadczenie Producenta, że wyrób jest zgodny z zasadniczymi wymaganiami (deklaracja zgodności).</w:t>
      </w:r>
      <w:r w:rsidDel="00000000" w:rsidR="00000000" w:rsidRPr="00000000">
        <w:rPr>
          <w:rtl w:val="0"/>
        </w:rPr>
      </w:r>
    </w:p>
    <w:p w:rsidR="00000000" w:rsidDel="00000000" w:rsidP="00000000" w:rsidRDefault="00000000" w:rsidRPr="00000000" w14:paraId="0000006D">
      <w:pPr>
        <w:numPr>
          <w:ilvl w:val="0"/>
          <w:numId w:val="12"/>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a"/>
          <w:sz w:val="22"/>
          <w:szCs w:val="22"/>
          <w:rtl w:val="0"/>
        </w:rPr>
        <w:t xml:space="preserve">Materiały i urządzenia muszą posiadać dokumenty potwierdzające dopuszczenie do stosowania w budownictwie, które powinny być przekazane inspektorowi nadzoru </w:t>
      </w:r>
      <w:r w:rsidDel="00000000" w:rsidR="00000000" w:rsidRPr="00000000">
        <w:rPr>
          <w:rFonts w:ascii="Calibri" w:cs="Calibri" w:eastAsia="Calibri" w:hAnsi="Calibri"/>
          <w:color w:val="000000"/>
          <w:sz w:val="22"/>
          <w:szCs w:val="22"/>
          <w:rtl w:val="0"/>
        </w:rPr>
        <w:t xml:space="preserve">z ramienia Zamawiającego</w:t>
      </w:r>
      <w:r w:rsidDel="00000000" w:rsidR="00000000" w:rsidRPr="00000000">
        <w:rPr>
          <w:rFonts w:ascii="Calibri" w:cs="Calibri" w:eastAsia="Calibri" w:hAnsi="Calibri"/>
          <w:color w:val="00000a"/>
          <w:sz w:val="22"/>
          <w:szCs w:val="22"/>
          <w:rtl w:val="0"/>
        </w:rPr>
        <w:t xml:space="preserve"> przed wbudowaniem. </w:t>
      </w:r>
      <w:r w:rsidDel="00000000" w:rsidR="00000000" w:rsidRPr="00000000">
        <w:rPr>
          <w:rtl w:val="0"/>
        </w:rPr>
      </w:r>
    </w:p>
    <w:p w:rsidR="00000000" w:rsidDel="00000000" w:rsidP="00000000" w:rsidRDefault="00000000" w:rsidRPr="00000000" w14:paraId="0000006E">
      <w:pPr>
        <w:numPr>
          <w:ilvl w:val="0"/>
          <w:numId w:val="12"/>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Materiały nie spełniające wymagań Specyfikacji Technicznej zostaną usunięte z placu budowy. Jeżeli zostaną jednak zastosowane, roboty mogą zostać odrzucone a płatności wstrzymane.</w:t>
      </w:r>
    </w:p>
    <w:p w:rsidR="00000000" w:rsidDel="00000000" w:rsidP="00000000" w:rsidRDefault="00000000" w:rsidRPr="00000000" w14:paraId="0000006F">
      <w:pPr>
        <w:numPr>
          <w:ilvl w:val="0"/>
          <w:numId w:val="12"/>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Materiały, które nie mają odniesienia w publikowanych katalogach, a dopuszczone są do stosowania w budownictwie, należy stosować zgodnie z obowiązującymi kartami wyrobów i instrukcji producentów. Normy zużycia należy przyjmować zgodnie z zaleceniami producentów i dystrybutorów wyrobów.</w:t>
      </w:r>
    </w:p>
    <w:p w:rsidR="00000000" w:rsidDel="00000000" w:rsidP="00000000" w:rsidRDefault="00000000" w:rsidRPr="00000000" w14:paraId="00000070">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bookmarkStart w:colFirst="0" w:colLast="0" w:name="_heading=h.4d34og8" w:id="10"/>
      <w:bookmarkEnd w:id="10"/>
      <w:r w:rsidDel="00000000" w:rsidR="00000000" w:rsidRPr="00000000">
        <w:rPr>
          <w:rtl w:val="0"/>
        </w:rPr>
      </w:r>
    </w:p>
    <w:p w:rsidR="00000000" w:rsidDel="00000000" w:rsidP="00000000" w:rsidRDefault="00000000" w:rsidRPr="00000000" w14:paraId="00000071">
      <w:pPr>
        <w:keepNext w:val="1"/>
        <w:numPr>
          <w:ilvl w:val="1"/>
          <w:numId w:val="24"/>
        </w:numPr>
        <w:pBdr>
          <w:top w:space="0" w:sz="0" w:val="nil"/>
          <w:left w:space="0" w:sz="0" w:val="nil"/>
          <w:bottom w:space="0" w:sz="0" w:val="nil"/>
          <w:right w:space="0" w:sz="0" w:val="nil"/>
          <w:between w:space="0" w:sz="0" w:val="nil"/>
        </w:pBdr>
        <w:spacing w:line="240" w:lineRule="auto"/>
        <w:ind w:left="0" w:hanging="2"/>
        <w:jc w:val="left"/>
        <w:rPr>
          <w:rFonts w:ascii="Calibri" w:cs="Calibri" w:eastAsia="Calibri" w:hAnsi="Calibri"/>
          <w:b w:val="1"/>
          <w:bCs w:val="1"/>
          <w:color w:val="000000"/>
          <w:sz w:val="22"/>
          <w:szCs w:val="22"/>
        </w:rPr>
      </w:pPr>
      <w:r w:rsidDel="00000000" w:rsidR="00000000" w:rsidRPr="00000000">
        <w:rPr>
          <w:rFonts w:ascii="Calibri" w:cs="Calibri" w:eastAsia="Calibri" w:hAnsi="Calibri"/>
          <w:b w:val="1"/>
          <w:bCs w:val="1"/>
          <w:color w:val="000000"/>
          <w:sz w:val="22"/>
          <w:szCs w:val="22"/>
          <w:rtl w:val="0"/>
        </w:rPr>
        <w:t xml:space="preserve">Jakość dostaw</w:t>
      </w:r>
    </w:p>
    <w:p w:rsidR="00000000" w:rsidDel="00000000" w:rsidP="00000000" w:rsidRDefault="00000000" w:rsidRPr="00000000" w14:paraId="00000072">
      <w:pPr>
        <w:numPr>
          <w:ilvl w:val="0"/>
          <w:numId w:val="42"/>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Używane będą wyłącznie materiały i urządzenia nowe, najlepszej jakości, o ogólnie znanej marce oraz łatwo zastępowalne urządzeniami produkcji lokalnej, możliwymi do zrealizowania w krótkim czasie.</w:t>
      </w:r>
    </w:p>
    <w:p w:rsidR="00000000" w:rsidDel="00000000" w:rsidP="00000000" w:rsidRDefault="00000000" w:rsidRPr="00000000" w14:paraId="00000073">
      <w:pPr>
        <w:numPr>
          <w:ilvl w:val="0"/>
          <w:numId w:val="42"/>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Materiały, elementy lub zespoły używane muszą odpowiadać postanowieniom zawartym w dokumentacji projektowej. Jeśli stanowią przedmiot norm, muszą posiadać atesty.</w:t>
      </w:r>
    </w:p>
    <w:p w:rsidR="00000000" w:rsidDel="00000000" w:rsidP="00000000" w:rsidRDefault="00000000" w:rsidRPr="00000000" w14:paraId="00000074">
      <w:pPr>
        <w:numPr>
          <w:ilvl w:val="0"/>
          <w:numId w:val="42"/>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Wszystkie urządzenia muszą posiadać oznaczenie stopnia ochrony i stopień reakcji na ogień, przyjęty w zależności od pomieszczeń i ryzyka istniejącego w miejscach, w których zostaną one zainstalowane.</w:t>
      </w:r>
    </w:p>
    <w:p w:rsidR="00000000" w:rsidDel="00000000" w:rsidP="00000000" w:rsidRDefault="00000000" w:rsidRPr="00000000" w14:paraId="00000075">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bookmarkStart w:colFirst="0" w:colLast="0" w:name="_heading=h.2s8eyo1" w:id="11"/>
      <w:bookmarkEnd w:id="11"/>
      <w:r w:rsidDel="00000000" w:rsidR="00000000" w:rsidRPr="00000000">
        <w:rPr>
          <w:rtl w:val="0"/>
        </w:rPr>
      </w:r>
    </w:p>
    <w:p w:rsidR="00000000" w:rsidDel="00000000" w:rsidP="00000000" w:rsidRDefault="00000000" w:rsidRPr="00000000" w14:paraId="00000076">
      <w:pPr>
        <w:keepNext w:val="1"/>
        <w:numPr>
          <w:ilvl w:val="1"/>
          <w:numId w:val="24"/>
        </w:numPr>
        <w:pBdr>
          <w:top w:space="0" w:sz="0" w:val="nil"/>
          <w:left w:space="0" w:sz="0" w:val="nil"/>
          <w:bottom w:space="0" w:sz="0" w:val="nil"/>
          <w:right w:space="0" w:sz="0" w:val="nil"/>
          <w:between w:space="0" w:sz="0" w:val="nil"/>
        </w:pBdr>
        <w:spacing w:line="240" w:lineRule="auto"/>
        <w:ind w:left="0" w:hanging="2"/>
        <w:jc w:val="left"/>
        <w:rPr>
          <w:rFonts w:ascii="Calibri" w:cs="Calibri" w:eastAsia="Calibri" w:hAnsi="Calibri"/>
          <w:b w:val="1"/>
          <w:bCs w:val="1"/>
          <w:color w:val="000000"/>
          <w:sz w:val="22"/>
          <w:szCs w:val="22"/>
        </w:rPr>
      </w:pPr>
      <w:r w:rsidDel="00000000" w:rsidR="00000000" w:rsidRPr="00000000">
        <w:rPr>
          <w:rFonts w:ascii="Calibri" w:cs="Calibri" w:eastAsia="Calibri" w:hAnsi="Calibri"/>
          <w:b w:val="1"/>
          <w:bCs w:val="1"/>
          <w:color w:val="000000"/>
          <w:sz w:val="22"/>
          <w:szCs w:val="22"/>
          <w:rtl w:val="0"/>
        </w:rPr>
        <w:t xml:space="preserve">Wybór dostaw</w:t>
      </w:r>
    </w:p>
    <w:p w:rsidR="00000000" w:rsidDel="00000000" w:rsidP="00000000" w:rsidRDefault="00000000" w:rsidRPr="00000000" w14:paraId="00000077">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Przed przystąpieniem do prac, Wykonawca przedstawi do aprobaty kompletną listę urządzeń, które zastosuje do wykonawstwa. Wykonawca powinien dostarczyć na poparcie katalogi, szkice i rysunki, które ewentualnie będą od niego wymagane. Każda propozycja Wykonawcy, która nie będzie odpowiadać technicznie, jakościowo lub estetycznie przewidzianym w dokumentacji projektowej urządzeniom, będzie mogła być odrzucona.</w:t>
      </w:r>
    </w:p>
    <w:p w:rsidR="00000000" w:rsidDel="00000000" w:rsidP="00000000" w:rsidRDefault="00000000" w:rsidRPr="00000000" w14:paraId="00000078">
      <w:pPr>
        <w:keepNext w:val="1"/>
        <w:pBdr>
          <w:top w:space="0" w:sz="0" w:val="nil"/>
          <w:left w:space="0" w:sz="0" w:val="nil"/>
          <w:bottom w:space="0" w:sz="0" w:val="nil"/>
          <w:right w:space="0" w:sz="0" w:val="nil"/>
          <w:between w:space="0" w:sz="0" w:val="nil"/>
        </w:pBdr>
        <w:spacing w:after="0" w:line="240" w:lineRule="auto"/>
        <w:ind w:left="0" w:hanging="2"/>
        <w:rPr>
          <w:rFonts w:ascii="Calibri" w:cs="Calibri" w:eastAsia="Calibri" w:hAnsi="Calibri"/>
          <w:color w:val="000000"/>
          <w:sz w:val="22"/>
          <w:szCs w:val="22"/>
          <w:u w:val="single"/>
        </w:rPr>
      </w:pPr>
      <w:bookmarkStart w:colFirst="0" w:colLast="0" w:name="_heading=h.17dp8vu" w:id="12"/>
      <w:bookmarkEnd w:id="12"/>
      <w:r w:rsidDel="00000000" w:rsidR="00000000" w:rsidRPr="00000000">
        <w:rPr>
          <w:rtl w:val="0"/>
        </w:rPr>
      </w:r>
    </w:p>
    <w:p w:rsidR="00000000" w:rsidDel="00000000" w:rsidP="00000000" w:rsidRDefault="00000000" w:rsidRPr="00000000" w14:paraId="00000079">
      <w:pPr>
        <w:keepNext w:val="1"/>
        <w:numPr>
          <w:ilvl w:val="1"/>
          <w:numId w:val="24"/>
        </w:numPr>
        <w:pBdr>
          <w:top w:space="0" w:sz="0" w:val="nil"/>
          <w:left w:space="0" w:sz="0" w:val="nil"/>
          <w:bottom w:space="0" w:sz="0" w:val="nil"/>
          <w:right w:space="0" w:sz="0" w:val="nil"/>
          <w:between w:space="0" w:sz="0" w:val="nil"/>
        </w:pBdr>
        <w:spacing w:line="240" w:lineRule="auto"/>
        <w:ind w:left="0" w:hanging="2"/>
        <w:jc w:val="left"/>
        <w:rPr>
          <w:rFonts w:ascii="Calibri" w:cs="Calibri" w:eastAsia="Calibri" w:hAnsi="Calibri"/>
          <w:b w:val="1"/>
          <w:bCs w:val="1"/>
          <w:color w:val="000000"/>
          <w:sz w:val="22"/>
          <w:szCs w:val="22"/>
        </w:rPr>
      </w:pPr>
      <w:r w:rsidDel="00000000" w:rsidR="00000000" w:rsidRPr="00000000">
        <w:rPr>
          <w:rFonts w:ascii="Calibri" w:cs="Calibri" w:eastAsia="Calibri" w:hAnsi="Calibri"/>
          <w:b w:val="1"/>
          <w:bCs w:val="1"/>
          <w:color w:val="000000"/>
          <w:sz w:val="22"/>
          <w:szCs w:val="22"/>
          <w:rtl w:val="0"/>
        </w:rPr>
        <w:t xml:space="preserve">Transport</w:t>
      </w:r>
    </w:p>
    <w:p w:rsidR="00000000" w:rsidDel="00000000" w:rsidP="00000000" w:rsidRDefault="00000000" w:rsidRPr="00000000" w14:paraId="0000007A">
      <w:pPr>
        <w:numPr>
          <w:ilvl w:val="0"/>
          <w:numId w:val="43"/>
        </w:numPr>
        <w:pBdr>
          <w:top w:space="0" w:sz="0" w:val="nil"/>
          <w:left w:space="0" w:sz="0" w:val="nil"/>
          <w:bottom w:space="0" w:sz="0" w:val="nil"/>
          <w:right w:space="0" w:sz="0" w:val="nil"/>
          <w:between w:space="0" w:sz="0" w:val="nil"/>
        </w:pBdr>
        <w:spacing w:after="0"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Urządzenia powinny być dostarczone od Producenta w stanie kompletnie zmontowanym.</w:t>
      </w:r>
    </w:p>
    <w:p w:rsidR="00000000" w:rsidDel="00000000" w:rsidP="00000000" w:rsidRDefault="00000000" w:rsidRPr="00000000" w14:paraId="0000007B">
      <w:pPr>
        <w:numPr>
          <w:ilvl w:val="0"/>
          <w:numId w:val="43"/>
        </w:numPr>
        <w:pBdr>
          <w:top w:space="0" w:sz="0" w:val="nil"/>
          <w:left w:space="0" w:sz="0" w:val="nil"/>
          <w:bottom w:space="0" w:sz="0" w:val="nil"/>
          <w:right w:space="0" w:sz="0" w:val="nil"/>
          <w:between w:space="0" w:sz="0" w:val="nil"/>
        </w:pBdr>
        <w:spacing w:after="0"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Podstawowe zasady dotyczące transportu i rozładunku materiałów preizolowanych zawarte są w opracowaniu „Eksploatacyjne wytyczne projektowania oraz wykonania rurociągów preizolowanych w osłonie PE-HD – Część II – Projektowanie i montaż” - rozdział IV.</w:t>
      </w:r>
    </w:p>
    <w:p w:rsidR="00000000" w:rsidDel="00000000" w:rsidP="00000000" w:rsidRDefault="00000000" w:rsidRPr="00000000" w14:paraId="0000007C">
      <w:pPr>
        <w:numPr>
          <w:ilvl w:val="0"/>
          <w:numId w:val="43"/>
        </w:numPr>
        <w:pBdr>
          <w:top w:space="0" w:sz="0" w:val="nil"/>
          <w:left w:space="0" w:sz="0" w:val="nil"/>
          <w:bottom w:space="0" w:sz="0" w:val="nil"/>
          <w:right w:space="0" w:sz="0" w:val="nil"/>
          <w:between w:space="0" w:sz="0" w:val="nil"/>
        </w:pBdr>
        <w:spacing w:after="0"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W czasie transportu oraz składowania urządzeń i materiałów służących do montażu sieci cieplnych należy przestrzegać zaleceń Wytwórców, a w szczególności:</w:t>
      </w:r>
    </w:p>
    <w:p w:rsidR="00000000" w:rsidDel="00000000" w:rsidP="00000000" w:rsidRDefault="00000000" w:rsidRPr="00000000" w14:paraId="0000007D">
      <w:pPr>
        <w:numPr>
          <w:ilvl w:val="0"/>
          <w:numId w:val="44"/>
        </w:numPr>
        <w:pBdr>
          <w:top w:space="0" w:sz="0" w:val="nil"/>
          <w:left w:space="0" w:sz="0" w:val="nil"/>
          <w:bottom w:space="0" w:sz="0" w:val="nil"/>
          <w:right w:space="0" w:sz="0" w:val="nil"/>
          <w:between w:space="0" w:sz="0" w:val="nil"/>
        </w:pBdr>
        <w:spacing w:after="0"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nie narażać urządzeń na nagłe przechylenia, szarpnięcia, wstrząsy, uderzenia;</w:t>
      </w:r>
    </w:p>
    <w:p w:rsidR="00000000" w:rsidDel="00000000" w:rsidP="00000000" w:rsidRDefault="00000000" w:rsidRPr="00000000" w14:paraId="0000007E">
      <w:pPr>
        <w:numPr>
          <w:ilvl w:val="0"/>
          <w:numId w:val="44"/>
        </w:numPr>
        <w:pBdr>
          <w:top w:space="0" w:sz="0" w:val="nil"/>
          <w:left w:space="0" w:sz="0" w:val="nil"/>
          <w:bottom w:space="0" w:sz="0" w:val="nil"/>
          <w:right w:space="0" w:sz="0" w:val="nil"/>
          <w:between w:space="0" w:sz="0" w:val="nil"/>
        </w:pBdr>
        <w:spacing w:after="0"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transportowane materiały i urządzenia zabezpieczyć przed nadmiernymi drganiami i wstrząsami oraz przesuwaniem się wewnątrz środka transportowego;</w:t>
      </w:r>
    </w:p>
    <w:p w:rsidR="00000000" w:rsidDel="00000000" w:rsidP="00000000" w:rsidRDefault="00000000" w:rsidRPr="00000000" w14:paraId="0000007F">
      <w:pPr>
        <w:numPr>
          <w:ilvl w:val="0"/>
          <w:numId w:val="44"/>
        </w:numPr>
        <w:pBdr>
          <w:top w:space="0" w:sz="0" w:val="nil"/>
          <w:left w:space="0" w:sz="0" w:val="nil"/>
          <w:bottom w:space="0" w:sz="0" w:val="nil"/>
          <w:right w:space="0" w:sz="0" w:val="nil"/>
          <w:between w:space="0" w:sz="0" w:val="nil"/>
        </w:pBdr>
        <w:spacing w:after="0"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na czas transportu elementy mogące ulec uszkodzeniu należy zdemontować i odpowiednio zabezpieczyć;</w:t>
      </w:r>
    </w:p>
    <w:p w:rsidR="00000000" w:rsidDel="00000000" w:rsidP="00000000" w:rsidRDefault="00000000" w:rsidRPr="00000000" w14:paraId="00000080">
      <w:pPr>
        <w:numPr>
          <w:ilvl w:val="0"/>
          <w:numId w:val="44"/>
        </w:numPr>
        <w:pBdr>
          <w:top w:space="0" w:sz="0" w:val="nil"/>
          <w:left w:space="0" w:sz="0" w:val="nil"/>
          <w:bottom w:space="0" w:sz="0" w:val="nil"/>
          <w:right w:space="0" w:sz="0" w:val="nil"/>
          <w:between w:space="0" w:sz="0" w:val="nil"/>
        </w:pBdr>
        <w:spacing w:after="0"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materiały i urządzenia ostrożnie załadowywać i zdejmować, nie narażając ich na uderzenia, ubytki lub uszkodzenia powłok lakierniczych, osłon blaszanych, zamków itp.;</w:t>
      </w:r>
    </w:p>
    <w:p w:rsidR="00000000" w:rsidDel="00000000" w:rsidP="00000000" w:rsidRDefault="00000000" w:rsidRPr="00000000" w14:paraId="00000081">
      <w:pPr>
        <w:numPr>
          <w:ilvl w:val="0"/>
          <w:numId w:val="44"/>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zabezpieczyć je przed kradzieżą lub zdekompletowaniem.</w:t>
      </w:r>
    </w:p>
    <w:p w:rsidR="00000000" w:rsidDel="00000000" w:rsidP="00000000" w:rsidRDefault="00000000" w:rsidRPr="00000000" w14:paraId="00000082">
      <w:pPr>
        <w:keepNext w:val="1"/>
        <w:pBdr>
          <w:top w:space="0" w:sz="0" w:val="nil"/>
          <w:left w:space="0" w:sz="0" w:val="nil"/>
          <w:bottom w:space="0" w:sz="0" w:val="nil"/>
          <w:right w:space="0" w:sz="0" w:val="nil"/>
          <w:between w:space="0" w:sz="0" w:val="nil"/>
        </w:pBdr>
        <w:spacing w:line="240" w:lineRule="auto"/>
        <w:ind w:left="0" w:hanging="2"/>
        <w:jc w:val="left"/>
        <w:rPr>
          <w:rFonts w:ascii="Calibri" w:cs="Calibri" w:eastAsia="Calibri" w:hAnsi="Calibri"/>
          <w:b w:val="1"/>
          <w:bCs w:val="1"/>
          <w:color w:val="000000"/>
          <w:sz w:val="22"/>
          <w:szCs w:val="22"/>
        </w:rPr>
      </w:pPr>
      <w:bookmarkStart w:colFirst="0" w:colLast="0" w:name="_heading=h.3rdcrjn" w:id="13"/>
      <w:bookmarkEnd w:id="13"/>
      <w:r w:rsidDel="00000000" w:rsidR="00000000" w:rsidRPr="00000000">
        <w:rPr>
          <w:rtl w:val="0"/>
        </w:rPr>
      </w:r>
    </w:p>
    <w:p w:rsidR="00000000" w:rsidDel="00000000" w:rsidP="00000000" w:rsidRDefault="00000000" w:rsidRPr="00000000" w14:paraId="00000083">
      <w:pPr>
        <w:keepNext w:val="1"/>
        <w:numPr>
          <w:ilvl w:val="1"/>
          <w:numId w:val="24"/>
        </w:numPr>
        <w:pBdr>
          <w:top w:space="0" w:sz="0" w:val="nil"/>
          <w:left w:space="0" w:sz="0" w:val="nil"/>
          <w:bottom w:space="0" w:sz="0" w:val="nil"/>
          <w:right w:space="0" w:sz="0" w:val="nil"/>
          <w:between w:space="0" w:sz="0" w:val="nil"/>
        </w:pBdr>
        <w:spacing w:line="240" w:lineRule="auto"/>
        <w:ind w:left="0" w:hanging="2"/>
        <w:jc w:val="left"/>
        <w:rPr>
          <w:rFonts w:ascii="Calibri" w:cs="Calibri" w:eastAsia="Calibri" w:hAnsi="Calibri"/>
          <w:b w:val="1"/>
          <w:bCs w:val="1"/>
          <w:color w:val="000000"/>
          <w:sz w:val="22"/>
          <w:szCs w:val="22"/>
        </w:rPr>
      </w:pPr>
      <w:r w:rsidDel="00000000" w:rsidR="00000000" w:rsidRPr="00000000">
        <w:rPr>
          <w:rFonts w:ascii="Calibri" w:cs="Calibri" w:eastAsia="Calibri" w:hAnsi="Calibri"/>
          <w:b w:val="1"/>
          <w:bCs w:val="1"/>
          <w:color w:val="000000"/>
          <w:sz w:val="22"/>
          <w:szCs w:val="22"/>
          <w:rtl w:val="0"/>
        </w:rPr>
        <w:t xml:space="preserve">Kontrola dostaw</w:t>
      </w:r>
    </w:p>
    <w:p w:rsidR="00000000" w:rsidDel="00000000" w:rsidP="00000000" w:rsidRDefault="00000000" w:rsidRPr="00000000" w14:paraId="00000084">
      <w:pPr>
        <w:numPr>
          <w:ilvl w:val="0"/>
          <w:numId w:val="45"/>
        </w:numPr>
        <w:pBdr>
          <w:top w:space="0" w:sz="0" w:val="nil"/>
          <w:left w:space="0" w:sz="0" w:val="nil"/>
          <w:bottom w:space="0" w:sz="0" w:val="nil"/>
          <w:right w:space="0" w:sz="0" w:val="nil"/>
          <w:between w:space="0" w:sz="0" w:val="nil"/>
        </w:pBdr>
        <w:spacing w:after="0"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sz w:val="22"/>
          <w:szCs w:val="22"/>
          <w:rtl w:val="0"/>
        </w:rPr>
        <w:t xml:space="preserve">P</w:t>
      </w:r>
      <w:r w:rsidDel="00000000" w:rsidR="00000000" w:rsidRPr="00000000">
        <w:rPr>
          <w:rFonts w:ascii="Calibri" w:cs="Calibri" w:eastAsia="Calibri" w:hAnsi="Calibri"/>
          <w:color w:val="000000"/>
          <w:sz w:val="22"/>
          <w:szCs w:val="22"/>
          <w:rtl w:val="0"/>
        </w:rPr>
        <w:t xml:space="preserve">o dostarczeniu urządzeń i materiałów Wykonawca powinien przeprowadzić oględziny celem ustalenia stanu w momencie dostawy. Powinno się zwrócić uwagę na to, czy nie ma śladów przesunięć ładunku w transporcie, a w szczególności, czy:</w:t>
      </w:r>
    </w:p>
    <w:p w:rsidR="00000000" w:rsidDel="00000000" w:rsidP="00000000" w:rsidRDefault="00000000" w:rsidRPr="00000000" w14:paraId="00000085">
      <w:pPr>
        <w:numPr>
          <w:ilvl w:val="1"/>
          <w:numId w:val="46"/>
        </w:numPr>
        <w:pBdr>
          <w:top w:space="0" w:sz="0" w:val="nil"/>
          <w:left w:space="0" w:sz="0" w:val="nil"/>
          <w:bottom w:space="0" w:sz="0" w:val="nil"/>
          <w:right w:space="0" w:sz="0" w:val="nil"/>
          <w:between w:space="0" w:sz="0" w:val="nil"/>
        </w:pBdr>
        <w:spacing w:after="0"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nie ma śladów uszkodzeń zewnętrznych;</w:t>
      </w:r>
    </w:p>
    <w:p w:rsidR="00000000" w:rsidDel="00000000" w:rsidP="00000000" w:rsidRDefault="00000000" w:rsidRPr="00000000" w14:paraId="00000086">
      <w:pPr>
        <w:numPr>
          <w:ilvl w:val="1"/>
          <w:numId w:val="46"/>
        </w:numPr>
        <w:pBdr>
          <w:top w:space="0" w:sz="0" w:val="nil"/>
          <w:left w:space="0" w:sz="0" w:val="nil"/>
          <w:bottom w:space="0" w:sz="0" w:val="nil"/>
          <w:right w:space="0" w:sz="0" w:val="nil"/>
          <w:between w:space="0" w:sz="0" w:val="nil"/>
        </w:pBdr>
        <w:spacing w:after="0"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powłoki malarskie nie są uszkodzone;</w:t>
      </w:r>
    </w:p>
    <w:p w:rsidR="00000000" w:rsidDel="00000000" w:rsidP="00000000" w:rsidRDefault="00000000" w:rsidRPr="00000000" w14:paraId="00000087">
      <w:pPr>
        <w:numPr>
          <w:ilvl w:val="1"/>
          <w:numId w:val="46"/>
        </w:numPr>
        <w:pBdr>
          <w:top w:space="0" w:sz="0" w:val="nil"/>
          <w:left w:space="0" w:sz="0" w:val="nil"/>
          <w:bottom w:space="0" w:sz="0" w:val="nil"/>
          <w:right w:space="0" w:sz="0" w:val="nil"/>
          <w:between w:space="0" w:sz="0" w:val="nil"/>
        </w:pBdr>
        <w:spacing w:after="0"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urządzenia są kompletne;</w:t>
      </w:r>
    </w:p>
    <w:p w:rsidR="00000000" w:rsidDel="00000000" w:rsidP="00000000" w:rsidRDefault="00000000" w:rsidRPr="00000000" w14:paraId="00000088">
      <w:pPr>
        <w:numPr>
          <w:ilvl w:val="1"/>
          <w:numId w:val="46"/>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wszystkie części zdemontowane na czas transportu są kompletne i nieuszkodzone.</w:t>
      </w:r>
    </w:p>
    <w:p w:rsidR="00000000" w:rsidDel="00000000" w:rsidP="00000000" w:rsidRDefault="00000000" w:rsidRPr="00000000" w14:paraId="00000089">
      <w:pPr>
        <w:numPr>
          <w:ilvl w:val="0"/>
          <w:numId w:val="45"/>
        </w:numPr>
        <w:pBdr>
          <w:top w:space="0" w:sz="0" w:val="nil"/>
          <w:left w:space="0" w:sz="0" w:val="nil"/>
          <w:bottom w:space="0" w:sz="0" w:val="nil"/>
          <w:right w:space="0" w:sz="0" w:val="nil"/>
          <w:between w:space="0" w:sz="0" w:val="nil"/>
        </w:pBdr>
        <w:spacing w:after="0"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Jeśli oględziny dadzą wynik negatywny, należy sporządzić odpowiedni protokół oraz złożyć reklamację u Spedytora, a także zawiadomić Zamawiającego i Producenta.</w:t>
      </w:r>
    </w:p>
    <w:p w:rsidR="00000000" w:rsidDel="00000000" w:rsidP="00000000" w:rsidRDefault="00000000" w:rsidRPr="00000000" w14:paraId="0000008A">
      <w:pPr>
        <w:pBdr>
          <w:top w:space="0" w:sz="0" w:val="nil"/>
          <w:left w:space="0" w:sz="0" w:val="nil"/>
          <w:bottom w:space="0" w:sz="0" w:val="nil"/>
          <w:right w:space="0" w:sz="0" w:val="nil"/>
          <w:between w:space="0" w:sz="0" w:val="nil"/>
        </w:pBdr>
        <w:spacing w:after="0" w:line="240" w:lineRule="auto"/>
        <w:ind w:left="0" w:hanging="2"/>
        <w:rPr>
          <w:rFonts w:ascii="Calibri" w:cs="Calibri" w:eastAsia="Calibri" w:hAnsi="Calibri"/>
          <w:color w:val="000000"/>
          <w:sz w:val="22"/>
          <w:szCs w:val="22"/>
        </w:rPr>
      </w:pPr>
      <w:bookmarkStart w:colFirst="0" w:colLast="0" w:name="_heading=h.26in1rg" w:id="14"/>
      <w:bookmarkEnd w:id="14"/>
      <w:r w:rsidDel="00000000" w:rsidR="00000000" w:rsidRPr="00000000">
        <w:rPr>
          <w:rtl w:val="0"/>
        </w:rPr>
      </w:r>
    </w:p>
    <w:p w:rsidR="00000000" w:rsidDel="00000000" w:rsidP="00000000" w:rsidRDefault="00000000" w:rsidRPr="00000000" w14:paraId="0000008B">
      <w:pPr>
        <w:keepNext w:val="1"/>
        <w:numPr>
          <w:ilvl w:val="1"/>
          <w:numId w:val="24"/>
        </w:numPr>
        <w:pBdr>
          <w:top w:space="0" w:sz="0" w:val="nil"/>
          <w:left w:space="0" w:sz="0" w:val="nil"/>
          <w:bottom w:space="0" w:sz="0" w:val="nil"/>
          <w:right w:space="0" w:sz="0" w:val="nil"/>
          <w:between w:space="0" w:sz="0" w:val="nil"/>
        </w:pBdr>
        <w:spacing w:line="240" w:lineRule="auto"/>
        <w:ind w:left="0" w:hanging="2"/>
        <w:jc w:val="left"/>
        <w:rPr>
          <w:rFonts w:ascii="Calibri" w:cs="Calibri" w:eastAsia="Calibri" w:hAnsi="Calibri"/>
          <w:b w:val="1"/>
          <w:bCs w:val="1"/>
          <w:color w:val="000000"/>
          <w:sz w:val="22"/>
          <w:szCs w:val="22"/>
        </w:rPr>
      </w:pPr>
      <w:r w:rsidDel="00000000" w:rsidR="00000000" w:rsidRPr="00000000">
        <w:rPr>
          <w:rFonts w:ascii="Calibri" w:cs="Calibri" w:eastAsia="Calibri" w:hAnsi="Calibri"/>
          <w:b w:val="1"/>
          <w:bCs w:val="1"/>
          <w:color w:val="000000"/>
          <w:sz w:val="22"/>
          <w:szCs w:val="22"/>
          <w:rtl w:val="0"/>
        </w:rPr>
        <w:t xml:space="preserve">Składowanie</w:t>
      </w:r>
    </w:p>
    <w:p w:rsidR="00000000" w:rsidDel="00000000" w:rsidP="00000000" w:rsidRDefault="00000000" w:rsidRPr="00000000" w14:paraId="0000008C">
      <w:pPr>
        <w:numPr>
          <w:ilvl w:val="0"/>
          <w:numId w:val="2"/>
        </w:numPr>
        <w:pBdr>
          <w:top w:space="0" w:sz="0" w:val="nil"/>
          <w:left w:space="0" w:sz="0" w:val="nil"/>
          <w:bottom w:space="0" w:sz="0" w:val="nil"/>
          <w:right w:space="0" w:sz="0" w:val="nil"/>
          <w:between w:space="0" w:sz="0" w:val="nil"/>
        </w:pBdr>
        <w:spacing w:after="0"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Dostawa materiałów przeznaczonych do montażu sieci cieplnych powinna nastąpić dopiero po odpowiednim przygotowaniu terenu robót bądź miejsca montażu.</w:t>
      </w:r>
    </w:p>
    <w:p w:rsidR="00000000" w:rsidDel="00000000" w:rsidP="00000000" w:rsidRDefault="00000000" w:rsidRPr="00000000" w14:paraId="0000008D">
      <w:pPr>
        <w:numPr>
          <w:ilvl w:val="0"/>
          <w:numId w:val="2"/>
        </w:numPr>
        <w:pBdr>
          <w:top w:space="0" w:sz="0" w:val="nil"/>
          <w:left w:space="0" w:sz="0" w:val="nil"/>
          <w:bottom w:space="0" w:sz="0" w:val="nil"/>
          <w:right w:space="0" w:sz="0" w:val="nil"/>
          <w:between w:space="0" w:sz="0" w:val="nil"/>
        </w:pBdr>
        <w:spacing w:after="0"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Składowanie materiałów powinno odbywać się zgodnie z wymaganiami producenta rur oraz zgodnie z opracowaniem „Eksploatacyjne wytyczne projektowania oraz wykonania rurociągów preizolowanych w osłonie PE-HD – Część II – Projektowanie i montaż” - rozdział IV.</w:t>
      </w:r>
    </w:p>
    <w:p w:rsidR="00000000" w:rsidDel="00000000" w:rsidP="00000000" w:rsidRDefault="00000000" w:rsidRPr="00000000" w14:paraId="0000008E">
      <w:pPr>
        <w:numPr>
          <w:ilvl w:val="0"/>
          <w:numId w:val="2"/>
        </w:numPr>
        <w:pBdr>
          <w:top w:space="0" w:sz="0" w:val="nil"/>
          <w:left w:space="0" w:sz="0" w:val="nil"/>
          <w:bottom w:space="0" w:sz="0" w:val="nil"/>
          <w:right w:space="0" w:sz="0" w:val="nil"/>
          <w:between w:space="0" w:sz="0" w:val="nil"/>
        </w:pBdr>
        <w:spacing w:after="0"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Składowanie urządzeń powinno odbywać się w warunkach zapobiegających zniszczeniu, uszkodzeniu, względnie pogorszeniu się ich właściwości technicznych (jakości) na skutek wpływów atmosferycznych i czynników fizyko – chemicznych. Należy zachować wymagania wynikające ze specjalnych właściwości materiałów oraz wymagania w zakresie bezpieczeństwa przeciwpożarowego.</w:t>
      </w:r>
    </w:p>
    <w:p w:rsidR="00000000" w:rsidDel="00000000" w:rsidP="00000000" w:rsidRDefault="00000000" w:rsidRPr="00000000" w14:paraId="0000008F">
      <w:pPr>
        <w:numPr>
          <w:ilvl w:val="0"/>
          <w:numId w:val="2"/>
        </w:numPr>
        <w:pBdr>
          <w:top w:space="0" w:sz="0" w:val="nil"/>
          <w:left w:space="0" w:sz="0" w:val="nil"/>
          <w:bottom w:space="0" w:sz="0" w:val="nil"/>
          <w:right w:space="0" w:sz="0" w:val="nil"/>
          <w:between w:space="0" w:sz="0" w:val="nil"/>
        </w:pBdr>
        <w:spacing w:after="0"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Jeśli jest to konieczne ze względu na rodzaj materiałów i wymagania określone przez Producenta, teren winien być zamknięty, należy zabezpieczać materiały od zewnętrznych wpływów atmosferycznych.</w:t>
      </w:r>
    </w:p>
    <w:p w:rsidR="00000000" w:rsidDel="00000000" w:rsidP="00000000" w:rsidRDefault="00000000" w:rsidRPr="00000000" w14:paraId="00000090">
      <w:pPr>
        <w:numPr>
          <w:ilvl w:val="0"/>
          <w:numId w:val="2"/>
        </w:numPr>
        <w:pBdr>
          <w:top w:space="0" w:sz="0" w:val="nil"/>
          <w:left w:space="0" w:sz="0" w:val="nil"/>
          <w:bottom w:space="0" w:sz="0" w:val="nil"/>
          <w:right w:space="0" w:sz="0" w:val="nil"/>
          <w:between w:space="0" w:sz="0" w:val="nil"/>
        </w:pBdr>
        <w:spacing w:after="0"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W przypadku składowania materiałów przez dłuższy okres zapewnić ich konserwację.</w:t>
      </w:r>
    </w:p>
    <w:p w:rsidR="00000000" w:rsidDel="00000000" w:rsidP="00000000" w:rsidRDefault="00000000" w:rsidRPr="00000000" w14:paraId="00000091">
      <w:pPr>
        <w:pBdr>
          <w:top w:space="0" w:sz="0" w:val="nil"/>
          <w:left w:space="0" w:sz="0" w:val="nil"/>
          <w:bottom w:space="0" w:sz="0" w:val="nil"/>
          <w:right w:space="0" w:sz="0" w:val="nil"/>
          <w:between w:space="0" w:sz="0" w:val="nil"/>
        </w:pBdr>
        <w:spacing w:after="0" w:line="240" w:lineRule="auto"/>
        <w:ind w:left="0" w:hanging="2"/>
        <w:rPr>
          <w:rFonts w:ascii="Calibri" w:cs="Calibri" w:eastAsia="Calibri" w:hAnsi="Calibri"/>
          <w:color w:val="000000"/>
          <w:sz w:val="22"/>
          <w:szCs w:val="22"/>
        </w:rPr>
      </w:pPr>
      <w:bookmarkStart w:colFirst="0" w:colLast="0" w:name="_heading=h.lnxbz9" w:id="15"/>
      <w:bookmarkEnd w:id="15"/>
      <w:r w:rsidDel="00000000" w:rsidR="00000000" w:rsidRPr="00000000">
        <w:rPr>
          <w:rtl w:val="0"/>
        </w:rPr>
      </w:r>
    </w:p>
    <w:p w:rsidR="00000000" w:rsidDel="00000000" w:rsidP="00000000" w:rsidRDefault="00000000" w:rsidRPr="00000000" w14:paraId="00000092">
      <w:pPr>
        <w:keepNext w:val="1"/>
        <w:numPr>
          <w:ilvl w:val="0"/>
          <w:numId w:val="24"/>
        </w:numPr>
        <w:pBdr>
          <w:top w:space="0" w:sz="0" w:val="nil"/>
          <w:left w:space="0" w:sz="0" w:val="nil"/>
          <w:bottom w:space="0" w:sz="0" w:val="nil"/>
          <w:right w:space="0" w:sz="0" w:val="nil"/>
          <w:between w:space="0" w:sz="0" w:val="nil"/>
        </w:pBdr>
        <w:spacing w:before="240" w:line="240" w:lineRule="auto"/>
        <w:ind w:left="0" w:hanging="2"/>
        <w:rPr>
          <w:rFonts w:ascii="Calibri" w:cs="Calibri" w:eastAsia="Calibri" w:hAnsi="Calibri"/>
          <w:b w:val="1"/>
          <w:bCs w:val="1"/>
          <w:color w:val="000000"/>
        </w:rPr>
      </w:pPr>
      <w:r w:rsidDel="00000000" w:rsidR="00000000" w:rsidRPr="00000000">
        <w:rPr>
          <w:rFonts w:ascii="Calibri" w:cs="Calibri" w:eastAsia="Calibri" w:hAnsi="Calibri"/>
          <w:b w:val="1"/>
          <w:bCs w:val="1"/>
          <w:color w:val="000000"/>
          <w:rtl w:val="0"/>
        </w:rPr>
        <w:t xml:space="preserve">MATERIAŁY</w:t>
      </w:r>
    </w:p>
    <w:p w:rsidR="00000000" w:rsidDel="00000000" w:rsidP="00000000" w:rsidRDefault="00000000" w:rsidRPr="00000000" w14:paraId="00000093">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094">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 Ogólne informacje na temat materiałów zostały zawarte w ST Tom I pkt. 13.</w:t>
      </w:r>
    </w:p>
    <w:p w:rsidR="00000000" w:rsidDel="00000000" w:rsidP="00000000" w:rsidRDefault="00000000" w:rsidRPr="00000000" w14:paraId="00000095">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bookmarkStart w:colFirst="0" w:colLast="0" w:name="_heading=h.35nkun2" w:id="16"/>
      <w:bookmarkEnd w:id="16"/>
      <w:r w:rsidDel="00000000" w:rsidR="00000000" w:rsidRPr="00000000">
        <w:rPr>
          <w:rtl w:val="0"/>
        </w:rPr>
      </w:r>
    </w:p>
    <w:p w:rsidR="00000000" w:rsidDel="00000000" w:rsidP="00000000" w:rsidRDefault="00000000" w:rsidRPr="00000000" w14:paraId="00000096">
      <w:pPr>
        <w:keepNext w:val="1"/>
        <w:numPr>
          <w:ilvl w:val="1"/>
          <w:numId w:val="24"/>
        </w:numPr>
        <w:pBdr>
          <w:top w:space="0" w:sz="0" w:val="nil"/>
          <w:left w:space="0" w:sz="0" w:val="nil"/>
          <w:bottom w:space="0" w:sz="0" w:val="nil"/>
          <w:right w:space="0" w:sz="0" w:val="nil"/>
          <w:between w:space="0" w:sz="0" w:val="nil"/>
        </w:pBdr>
        <w:spacing w:line="240" w:lineRule="auto"/>
        <w:ind w:left="0" w:hanging="2"/>
        <w:jc w:val="left"/>
        <w:rPr>
          <w:rFonts w:ascii="Calibri" w:cs="Calibri" w:eastAsia="Calibri" w:hAnsi="Calibri"/>
          <w:b w:val="1"/>
          <w:bCs w:val="1"/>
          <w:color w:val="000000"/>
          <w:sz w:val="22"/>
          <w:szCs w:val="22"/>
        </w:rPr>
      </w:pPr>
      <w:r w:rsidDel="00000000" w:rsidR="00000000" w:rsidRPr="00000000">
        <w:rPr>
          <w:rFonts w:ascii="Calibri" w:cs="Calibri" w:eastAsia="Calibri" w:hAnsi="Calibri"/>
          <w:b w:val="1"/>
          <w:bCs w:val="1"/>
          <w:color w:val="000000"/>
          <w:sz w:val="22"/>
          <w:szCs w:val="22"/>
          <w:rtl w:val="0"/>
        </w:rPr>
        <w:t xml:space="preserve">Wymagania do materiałów nie wyszczególnionych w katalogach</w:t>
      </w:r>
    </w:p>
    <w:p w:rsidR="00000000" w:rsidDel="00000000" w:rsidP="00000000" w:rsidRDefault="00000000" w:rsidRPr="00000000" w14:paraId="00000097">
      <w:pPr>
        <w:numPr>
          <w:ilvl w:val="0"/>
          <w:numId w:val="19"/>
        </w:numPr>
        <w:pBdr>
          <w:top w:space="0" w:sz="0" w:val="nil"/>
          <w:left w:space="0" w:sz="0" w:val="nil"/>
          <w:bottom w:space="0" w:sz="0" w:val="nil"/>
          <w:right w:space="0" w:sz="0" w:val="nil"/>
          <w:between w:space="0" w:sz="0" w:val="nil"/>
        </w:pBdr>
        <w:spacing w:after="0"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Wykonawca robót jest odpowiedzialny za jakość materiału oraz zgodność ich parametrów i jakości z postanowieniami dokumentacji projektowej  i umowy na wykonanie robót.</w:t>
      </w:r>
    </w:p>
    <w:p w:rsidR="00000000" w:rsidDel="00000000" w:rsidP="00000000" w:rsidRDefault="00000000" w:rsidRPr="00000000" w14:paraId="00000098">
      <w:pPr>
        <w:numPr>
          <w:ilvl w:val="0"/>
          <w:numId w:val="19"/>
        </w:numPr>
        <w:pBdr>
          <w:top w:space="0" w:sz="0" w:val="nil"/>
          <w:left w:space="0" w:sz="0" w:val="nil"/>
          <w:bottom w:space="0" w:sz="0" w:val="nil"/>
          <w:right w:space="0" w:sz="0" w:val="nil"/>
          <w:between w:space="0" w:sz="0" w:val="nil"/>
        </w:pBdr>
        <w:spacing w:after="0"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Wszystkie materiały użyte do budowy sieci ciepłowniczej powinny być zgodne z oznaczeniami na rysunkach i na wykazach materiałowych.</w:t>
      </w:r>
    </w:p>
    <w:p w:rsidR="00000000" w:rsidDel="00000000" w:rsidP="00000000" w:rsidRDefault="00000000" w:rsidRPr="00000000" w14:paraId="00000099">
      <w:pPr>
        <w:numPr>
          <w:ilvl w:val="0"/>
          <w:numId w:val="19"/>
        </w:numPr>
        <w:pBdr>
          <w:top w:space="0" w:sz="0" w:val="nil"/>
          <w:left w:space="0" w:sz="0" w:val="nil"/>
          <w:bottom w:space="0" w:sz="0" w:val="nil"/>
          <w:right w:space="0" w:sz="0" w:val="nil"/>
          <w:between w:space="0" w:sz="0" w:val="nil"/>
        </w:pBdr>
        <w:spacing w:after="0"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Wykonawca ponosi odpowiedzialność za spełnienie wymagań ilościowych i jakościowych materiałów dostarczanych na plac budowy oraz za ich właściwe składowanie i wbudowanie.</w:t>
      </w:r>
    </w:p>
    <w:p w:rsidR="00000000" w:rsidDel="00000000" w:rsidP="00000000" w:rsidRDefault="00000000" w:rsidRPr="00000000" w14:paraId="0000009A">
      <w:pPr>
        <w:keepNext w:val="1"/>
        <w:pBdr>
          <w:top w:space="0" w:sz="0" w:val="nil"/>
          <w:left w:space="0" w:sz="0" w:val="nil"/>
          <w:bottom w:space="0" w:sz="0" w:val="nil"/>
          <w:right w:space="0" w:sz="0" w:val="nil"/>
          <w:between w:space="0" w:sz="0" w:val="nil"/>
        </w:pBdr>
        <w:spacing w:line="240" w:lineRule="auto"/>
        <w:ind w:left="0" w:hanging="2"/>
        <w:jc w:val="left"/>
        <w:rPr>
          <w:rFonts w:ascii="Calibri" w:cs="Calibri" w:eastAsia="Calibri" w:hAnsi="Calibri"/>
          <w:b w:val="1"/>
          <w:bCs w:val="1"/>
          <w:color w:val="000000"/>
          <w:sz w:val="22"/>
          <w:szCs w:val="22"/>
        </w:rPr>
      </w:pPr>
      <w:bookmarkStart w:colFirst="0" w:colLast="0" w:name="_heading=h.1ksv4uv" w:id="17"/>
      <w:bookmarkEnd w:id="17"/>
      <w:r w:rsidDel="00000000" w:rsidR="00000000" w:rsidRPr="00000000">
        <w:rPr>
          <w:rtl w:val="0"/>
        </w:rPr>
      </w:r>
    </w:p>
    <w:p w:rsidR="00000000" w:rsidDel="00000000" w:rsidP="00000000" w:rsidRDefault="00000000" w:rsidRPr="00000000" w14:paraId="0000009B">
      <w:pPr>
        <w:keepNext w:val="1"/>
        <w:numPr>
          <w:ilvl w:val="1"/>
          <w:numId w:val="24"/>
        </w:numPr>
        <w:pBdr>
          <w:top w:space="0" w:sz="0" w:val="nil"/>
          <w:left w:space="0" w:sz="0" w:val="nil"/>
          <w:bottom w:space="0" w:sz="0" w:val="nil"/>
          <w:right w:space="0" w:sz="0" w:val="nil"/>
          <w:between w:space="0" w:sz="0" w:val="nil"/>
        </w:pBdr>
        <w:spacing w:line="240" w:lineRule="auto"/>
        <w:ind w:left="0" w:hanging="2"/>
        <w:jc w:val="left"/>
        <w:rPr>
          <w:rFonts w:ascii="Calibri" w:cs="Calibri" w:eastAsia="Calibri" w:hAnsi="Calibri"/>
          <w:b w:val="1"/>
          <w:bCs w:val="1"/>
          <w:color w:val="000000"/>
          <w:sz w:val="22"/>
          <w:szCs w:val="22"/>
        </w:rPr>
      </w:pPr>
      <w:r w:rsidDel="00000000" w:rsidR="00000000" w:rsidRPr="00000000">
        <w:rPr>
          <w:rFonts w:ascii="Calibri" w:cs="Calibri" w:eastAsia="Calibri" w:hAnsi="Calibri"/>
          <w:b w:val="1"/>
          <w:bCs w:val="1"/>
          <w:color w:val="000000"/>
          <w:sz w:val="22"/>
          <w:szCs w:val="22"/>
          <w:rtl w:val="0"/>
        </w:rPr>
        <w:t xml:space="preserve">Wymagania szczegółowe</w:t>
      </w:r>
    </w:p>
    <w:p w:rsidR="00000000" w:rsidDel="00000000" w:rsidP="00000000" w:rsidRDefault="00000000" w:rsidRPr="00000000" w14:paraId="0000009C">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highlight w:val="yellow"/>
          <w:u w:val="single"/>
        </w:rPr>
      </w:pPr>
      <w:r w:rsidDel="00000000" w:rsidR="00000000" w:rsidRPr="00000000">
        <w:rPr>
          <w:rFonts w:ascii="Calibri" w:cs="Calibri" w:eastAsia="Calibri" w:hAnsi="Calibri"/>
          <w:color w:val="000000"/>
          <w:sz w:val="22"/>
          <w:szCs w:val="22"/>
          <w:rtl w:val="0"/>
        </w:rPr>
        <w:t xml:space="preserve">Wszystkie materiały muszą być zgodne z opracowaniem „Eksploatacyjne wytyczne projektowania oraz wykonania rurociągów preizolowanych w osłonie PE-HD – Część I - Wymagania techniczne” stanowiącym załącznik nr 3 do specyfikacji technicznej oraz „Specyfikacja techniczna: Rury i elementy preizolowane w osłonie PE-HD” stanowiącymi załącznik nr 3A do specyfikacji technicznej.</w:t>
      </w:r>
      <w:r w:rsidDel="00000000" w:rsidR="00000000" w:rsidRPr="00000000">
        <w:rPr>
          <w:rtl w:val="0"/>
        </w:rPr>
      </w:r>
    </w:p>
    <w:p w:rsidR="00000000" w:rsidDel="00000000" w:rsidP="00000000" w:rsidRDefault="00000000" w:rsidRPr="00000000" w14:paraId="0000009D">
      <w:pPr>
        <w:keepNext w:val="1"/>
        <w:numPr>
          <w:ilvl w:val="0"/>
          <w:numId w:val="3"/>
        </w:numPr>
        <w:pBdr>
          <w:top w:space="0" w:sz="0" w:val="nil"/>
          <w:left w:space="0" w:sz="0" w:val="nil"/>
          <w:bottom w:space="0" w:sz="0" w:val="nil"/>
          <w:right w:space="0" w:sz="0" w:val="nil"/>
          <w:between w:space="0" w:sz="0" w:val="nil"/>
        </w:pBdr>
        <w:spacing w:after="0" w:line="240" w:lineRule="auto"/>
        <w:ind w:left="0" w:hanging="2"/>
        <w:rPr>
          <w:rFonts w:ascii="Calibri" w:cs="Calibri" w:eastAsia="Calibri" w:hAnsi="Calibri"/>
          <w:b w:val="1"/>
          <w:bCs w:val="1"/>
          <w:color w:val="000000"/>
          <w:sz w:val="22"/>
          <w:szCs w:val="22"/>
        </w:rPr>
      </w:pPr>
      <w:r w:rsidDel="00000000" w:rsidR="00000000" w:rsidRPr="00000000">
        <w:rPr>
          <w:rFonts w:ascii="Calibri" w:cs="Calibri" w:eastAsia="Calibri" w:hAnsi="Calibri"/>
          <w:color w:val="000000"/>
          <w:sz w:val="22"/>
          <w:szCs w:val="22"/>
          <w:u w:val="single"/>
          <w:rtl w:val="0"/>
        </w:rPr>
        <w:t xml:space="preserve">Rury stalowe</w:t>
      </w:r>
      <w:r w:rsidDel="00000000" w:rsidR="00000000" w:rsidRPr="00000000">
        <w:rPr>
          <w:rtl w:val="0"/>
        </w:rPr>
      </w:r>
    </w:p>
    <w:p w:rsidR="00000000" w:rsidDel="00000000" w:rsidP="00000000" w:rsidRDefault="00000000" w:rsidRPr="00000000" w14:paraId="0000009E">
      <w:pPr>
        <w:pBdr>
          <w:top w:space="0" w:sz="0" w:val="nil"/>
          <w:left w:space="0" w:sz="0" w:val="nil"/>
          <w:bottom w:space="0" w:sz="0" w:val="nil"/>
          <w:right w:space="0" w:sz="0" w:val="nil"/>
          <w:between w:space="0" w:sz="0" w:val="nil"/>
        </w:pBdr>
        <w:spacing w:after="0"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Rury stalowe muszą spełniać wymagania zawarte w opracowaniu „Eksploatacyjne wytyczne projektowania oraz wykonania rurociągów preizolowanych w osłonie PE-HD – Część I - Wymagania techniczne” stanowiącym załącznik nr 3 do specyfikacji technicznej oraz „Specyfikacja techniczna: Rury i elementy preizolowane w osłonie PE-HD” stanowiącymi załącznik nr 3A do specyfikacji technicznej.</w:t>
      </w:r>
    </w:p>
    <w:p w:rsidR="00000000" w:rsidDel="00000000" w:rsidP="00000000" w:rsidRDefault="00000000" w:rsidRPr="00000000" w14:paraId="0000009F">
      <w:pPr>
        <w:keepNext w:val="1"/>
        <w:numPr>
          <w:ilvl w:val="0"/>
          <w:numId w:val="3"/>
        </w:numPr>
        <w:pBdr>
          <w:top w:space="0" w:sz="0" w:val="nil"/>
          <w:left w:space="0" w:sz="0" w:val="nil"/>
          <w:bottom w:space="0" w:sz="0" w:val="nil"/>
          <w:right w:space="0" w:sz="0" w:val="nil"/>
          <w:between w:space="0" w:sz="0" w:val="nil"/>
        </w:pBdr>
        <w:spacing w:after="0" w:line="240" w:lineRule="auto"/>
        <w:ind w:left="0" w:hanging="2"/>
        <w:rPr>
          <w:rFonts w:ascii="Calibri" w:cs="Calibri" w:eastAsia="Calibri" w:hAnsi="Calibri"/>
          <w:b w:val="1"/>
          <w:bCs w:val="1"/>
          <w:color w:val="000000"/>
          <w:sz w:val="22"/>
          <w:szCs w:val="22"/>
        </w:rPr>
      </w:pPr>
      <w:r w:rsidDel="00000000" w:rsidR="00000000" w:rsidRPr="00000000">
        <w:rPr>
          <w:rFonts w:ascii="Calibri" w:cs="Calibri" w:eastAsia="Calibri" w:hAnsi="Calibri"/>
          <w:color w:val="000000"/>
          <w:sz w:val="22"/>
          <w:szCs w:val="22"/>
          <w:u w:val="single"/>
          <w:rtl w:val="0"/>
        </w:rPr>
        <w:t xml:space="preserve">Armatura</w:t>
      </w:r>
      <w:r w:rsidDel="00000000" w:rsidR="00000000" w:rsidRPr="00000000">
        <w:rPr>
          <w:rtl w:val="0"/>
        </w:rPr>
      </w:r>
    </w:p>
    <w:p w:rsidR="00000000" w:rsidDel="00000000" w:rsidP="00000000" w:rsidRDefault="00000000" w:rsidRPr="00000000" w14:paraId="000000A0">
      <w:pPr>
        <w:pBdr>
          <w:top w:space="0" w:sz="0" w:val="nil"/>
          <w:left w:space="0" w:sz="0" w:val="nil"/>
          <w:bottom w:space="0" w:sz="0" w:val="nil"/>
          <w:right w:space="0" w:sz="0" w:val="nil"/>
          <w:between w:space="0" w:sz="0" w:val="nil"/>
        </w:pBdr>
        <w:tabs>
          <w:tab w:val="left" w:leader="none" w:pos="1418"/>
        </w:tabs>
        <w:spacing w:after="0"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Wymagania szczegółowe dla armatury określono w opracowaniu „Eksploatacyjne wytyczne projektowania oraz wykonania rurociągów preizolowanych w osłonie PE-HD – Część I - Wymagania techniczne” stanowiącym załącznik nr 3 do specyfikacji technicznej oraz „Specyfikacja techniczna: Rury i elementy preizolowane w osłonie PE-HD” stanowiącymi załącznik nr 3A do specyfikacji technicznej,</w:t>
      </w:r>
    </w:p>
    <w:p w:rsidR="00000000" w:rsidDel="00000000" w:rsidP="00000000" w:rsidRDefault="00000000" w:rsidRPr="00000000" w14:paraId="000000A1">
      <w:pPr>
        <w:keepNext w:val="1"/>
        <w:numPr>
          <w:ilvl w:val="0"/>
          <w:numId w:val="3"/>
        </w:numPr>
        <w:pBdr>
          <w:top w:space="0" w:sz="0" w:val="nil"/>
          <w:left w:space="0" w:sz="0" w:val="nil"/>
          <w:bottom w:space="0" w:sz="0" w:val="nil"/>
          <w:right w:space="0" w:sz="0" w:val="nil"/>
          <w:between w:space="0" w:sz="0" w:val="nil"/>
        </w:pBdr>
        <w:spacing w:after="0" w:line="240" w:lineRule="auto"/>
        <w:ind w:left="0" w:hanging="2"/>
        <w:rPr>
          <w:rFonts w:ascii="Calibri" w:cs="Calibri" w:eastAsia="Calibri" w:hAnsi="Calibri"/>
          <w:color w:val="000000"/>
          <w:sz w:val="22"/>
          <w:szCs w:val="22"/>
          <w:u w:val="single"/>
        </w:rPr>
      </w:pPr>
      <w:r w:rsidDel="00000000" w:rsidR="00000000" w:rsidRPr="00000000">
        <w:rPr>
          <w:rFonts w:ascii="Calibri" w:cs="Calibri" w:eastAsia="Calibri" w:hAnsi="Calibri"/>
          <w:color w:val="000000"/>
          <w:sz w:val="22"/>
          <w:szCs w:val="22"/>
          <w:u w:val="single"/>
          <w:rtl w:val="0"/>
        </w:rPr>
        <w:t xml:space="preserve">Płaszcz osłonowy: </w:t>
      </w:r>
    </w:p>
    <w:p w:rsidR="00000000" w:rsidDel="00000000" w:rsidP="00000000" w:rsidRDefault="00000000" w:rsidRPr="00000000" w14:paraId="000000A2">
      <w:pPr>
        <w:pBdr>
          <w:top w:space="0" w:sz="0" w:val="nil"/>
          <w:left w:space="0" w:sz="0" w:val="nil"/>
          <w:bottom w:space="0" w:sz="0" w:val="nil"/>
          <w:right w:space="0" w:sz="0" w:val="nil"/>
          <w:between w:space="0" w:sz="0" w:val="nil"/>
        </w:pBdr>
        <w:tabs>
          <w:tab w:val="left" w:leader="none" w:pos="1418"/>
        </w:tabs>
        <w:spacing w:after="0"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Wymagania szczegółowe dla płaszcza osłonowego określono w opracowaniu „Eksploatacyjne wytyczne projektowania oraz wykonania rurociągów preizolowanych w osłonie PE-HD – Część I - Wymagania techniczne” stanowiącym załącznik nr 3 do specyfikacji technicznej oraz „Specyfikacja techniczna: Rury i elementy preizolowane w osłonie PE-HD” stanowiącymi załącznik nr 3A do specyfikacji technicznej.</w:t>
      </w:r>
    </w:p>
    <w:p w:rsidR="00000000" w:rsidDel="00000000" w:rsidP="00000000" w:rsidRDefault="00000000" w:rsidRPr="00000000" w14:paraId="000000A3">
      <w:pPr>
        <w:keepNext w:val="1"/>
        <w:numPr>
          <w:ilvl w:val="0"/>
          <w:numId w:val="3"/>
        </w:numPr>
        <w:pBdr>
          <w:top w:space="0" w:sz="0" w:val="nil"/>
          <w:left w:space="0" w:sz="0" w:val="nil"/>
          <w:bottom w:space="0" w:sz="0" w:val="nil"/>
          <w:right w:space="0" w:sz="0" w:val="nil"/>
          <w:between w:space="0" w:sz="0" w:val="nil"/>
        </w:pBdr>
        <w:spacing w:after="0" w:line="240" w:lineRule="auto"/>
        <w:ind w:left="0" w:hanging="2"/>
        <w:rPr>
          <w:rFonts w:ascii="Calibri" w:cs="Calibri" w:eastAsia="Calibri" w:hAnsi="Calibri"/>
          <w:b w:val="1"/>
          <w:bCs w:val="1"/>
          <w:color w:val="000000"/>
          <w:sz w:val="22"/>
          <w:szCs w:val="22"/>
          <w:u w:val="single"/>
        </w:rPr>
      </w:pPr>
      <w:r w:rsidDel="00000000" w:rsidR="00000000" w:rsidRPr="00000000">
        <w:rPr>
          <w:rFonts w:ascii="Calibri" w:cs="Calibri" w:eastAsia="Calibri" w:hAnsi="Calibri"/>
          <w:color w:val="000000"/>
          <w:sz w:val="22"/>
          <w:szCs w:val="22"/>
          <w:u w:val="single"/>
          <w:rtl w:val="0"/>
        </w:rPr>
        <w:t xml:space="preserve">Izolacja ze sztywnej pianki poliuretanowej</w:t>
      </w:r>
      <w:r w:rsidDel="00000000" w:rsidR="00000000" w:rsidRPr="00000000">
        <w:rPr>
          <w:rtl w:val="0"/>
        </w:rPr>
      </w:r>
    </w:p>
    <w:p w:rsidR="00000000" w:rsidDel="00000000" w:rsidP="00000000" w:rsidRDefault="00000000" w:rsidRPr="00000000" w14:paraId="000000A4">
      <w:pPr>
        <w:pBdr>
          <w:top w:space="0" w:sz="0" w:val="nil"/>
          <w:left w:space="0" w:sz="0" w:val="nil"/>
          <w:bottom w:space="0" w:sz="0" w:val="nil"/>
          <w:right w:space="0" w:sz="0" w:val="nil"/>
          <w:between w:space="0" w:sz="0" w:val="nil"/>
        </w:pBdr>
        <w:tabs>
          <w:tab w:val="left" w:leader="none" w:pos="1418"/>
        </w:tabs>
        <w:spacing w:after="0"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Wymagania szczegółowe dla izolacji określono w opracowaniu „Eksploatacyjne wytyczne projektowania oraz wykonania rurociągów preizolowanych w osłonie PE-HD – Część I - Wymagania techniczne” stanowiącym załącznik nr 3 do specyfikacji technicznej oraz „Specyfikacja techniczna: Rury i elementy preizolowane w osłonie PE-HD” stanowiącymi załącznik nr 3A do specyfikacji technicznej.</w:t>
      </w:r>
    </w:p>
    <w:p w:rsidR="00000000" w:rsidDel="00000000" w:rsidP="00000000" w:rsidRDefault="00000000" w:rsidRPr="00000000" w14:paraId="000000A5">
      <w:pPr>
        <w:keepNext w:val="1"/>
        <w:numPr>
          <w:ilvl w:val="0"/>
          <w:numId w:val="3"/>
        </w:numPr>
        <w:pBdr>
          <w:top w:space="0" w:sz="0" w:val="nil"/>
          <w:left w:space="0" w:sz="0" w:val="nil"/>
          <w:bottom w:space="0" w:sz="0" w:val="nil"/>
          <w:right w:space="0" w:sz="0" w:val="nil"/>
          <w:between w:space="0" w:sz="0" w:val="nil"/>
        </w:pBdr>
        <w:spacing w:after="0" w:line="240" w:lineRule="auto"/>
        <w:ind w:left="0" w:hanging="2"/>
        <w:rPr>
          <w:rFonts w:ascii="Calibri" w:cs="Calibri" w:eastAsia="Calibri" w:hAnsi="Calibri"/>
          <w:color w:val="000000"/>
          <w:sz w:val="22"/>
          <w:szCs w:val="22"/>
          <w:u w:val="single"/>
        </w:rPr>
      </w:pPr>
      <w:r w:rsidDel="00000000" w:rsidR="00000000" w:rsidRPr="00000000">
        <w:rPr>
          <w:rFonts w:ascii="Calibri" w:cs="Calibri" w:eastAsia="Calibri" w:hAnsi="Calibri"/>
          <w:color w:val="000000"/>
          <w:sz w:val="22"/>
          <w:szCs w:val="22"/>
          <w:u w:val="single"/>
          <w:rtl w:val="0"/>
        </w:rPr>
        <w:t xml:space="preserve">Izolowanie połączeń spawanych</w:t>
      </w:r>
    </w:p>
    <w:p w:rsidR="00000000" w:rsidDel="00000000" w:rsidP="00000000" w:rsidRDefault="00000000" w:rsidRPr="00000000" w14:paraId="000000A6">
      <w:pPr>
        <w:numPr>
          <w:ilvl w:val="0"/>
          <w:numId w:val="5"/>
        </w:numPr>
        <w:pBdr>
          <w:top w:space="0" w:sz="0" w:val="nil"/>
          <w:left w:space="0" w:sz="0" w:val="nil"/>
          <w:bottom w:space="0" w:sz="0" w:val="nil"/>
          <w:right w:space="0" w:sz="0" w:val="nil"/>
          <w:between w:space="0" w:sz="0" w:val="nil"/>
        </w:pBdr>
        <w:spacing w:after="0"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Wymagania szczegółowe dla izolowania połączeń spawanych określono w opracowaniu „Eksploatacyjne wytyczne projektowania oraz wykonania rurociągów preizolowanych w osłonie PE-HD – Część I - Wymagania techniczne” stanowiącym załącznik nr 3 do specyfikacji technicznej oraz „Specyfikacja techniczna: Rury i elementy preizolowane w osłonie PE-HD” stanowiącymi załącznik nr 3A do specyfikacji technicznej,</w:t>
      </w:r>
    </w:p>
    <w:p w:rsidR="00000000" w:rsidDel="00000000" w:rsidP="00000000" w:rsidRDefault="00000000" w:rsidRPr="00000000" w14:paraId="000000A7">
      <w:pPr>
        <w:numPr>
          <w:ilvl w:val="0"/>
          <w:numId w:val="5"/>
        </w:numPr>
        <w:pBdr>
          <w:top w:space="0" w:sz="0" w:val="nil"/>
          <w:left w:space="0" w:sz="0" w:val="nil"/>
          <w:bottom w:space="0" w:sz="0" w:val="nil"/>
          <w:right w:space="0" w:sz="0" w:val="nil"/>
          <w:between w:space="0" w:sz="0" w:val="nil"/>
        </w:pBdr>
        <w:spacing w:after="0"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Wszystkie złącza muszą być piankowane maszynowo,</w:t>
      </w:r>
    </w:p>
    <w:p w:rsidR="00000000" w:rsidDel="00000000" w:rsidP="00000000" w:rsidRDefault="00000000" w:rsidRPr="00000000" w14:paraId="000000A8">
      <w:pPr>
        <w:numPr>
          <w:ilvl w:val="0"/>
          <w:numId w:val="5"/>
        </w:numPr>
        <w:pBdr>
          <w:top w:space="0" w:sz="0" w:val="nil"/>
          <w:left w:space="0" w:sz="0" w:val="nil"/>
          <w:bottom w:space="0" w:sz="0" w:val="nil"/>
          <w:right w:space="0" w:sz="0" w:val="nil"/>
          <w:between w:space="0" w:sz="0" w:val="nil"/>
        </w:pBdr>
        <w:spacing w:after="0"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Monterzy złączy muszą posiadać uprawnienia od Producenta alarmu oraz od producenta złączy,</w:t>
      </w:r>
    </w:p>
    <w:p w:rsidR="00000000" w:rsidDel="00000000" w:rsidP="00000000" w:rsidRDefault="00000000" w:rsidRPr="00000000" w14:paraId="000000A9">
      <w:pPr>
        <w:numPr>
          <w:ilvl w:val="0"/>
          <w:numId w:val="5"/>
        </w:numPr>
        <w:pBdr>
          <w:top w:space="0" w:sz="0" w:val="nil"/>
          <w:left w:space="0" w:sz="0" w:val="nil"/>
          <w:bottom w:space="0" w:sz="0" w:val="nil"/>
          <w:right w:space="0" w:sz="0" w:val="nil"/>
          <w:between w:space="0" w:sz="0" w:val="nil"/>
        </w:pBdr>
        <w:spacing w:after="0"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Serwis wykonujący izolowanie złączy musi mieć maszynę mobilną do piankowania.</w:t>
      </w:r>
    </w:p>
    <w:p w:rsidR="00000000" w:rsidDel="00000000" w:rsidP="00000000" w:rsidRDefault="00000000" w:rsidRPr="00000000" w14:paraId="000000AA">
      <w:pPr>
        <w:keepNext w:val="1"/>
        <w:numPr>
          <w:ilvl w:val="0"/>
          <w:numId w:val="3"/>
        </w:numPr>
        <w:pBdr>
          <w:top w:space="0" w:sz="0" w:val="nil"/>
          <w:left w:space="0" w:sz="0" w:val="nil"/>
          <w:bottom w:space="0" w:sz="0" w:val="nil"/>
          <w:right w:space="0" w:sz="0" w:val="nil"/>
          <w:between w:space="0" w:sz="0" w:val="nil"/>
        </w:pBdr>
        <w:spacing w:after="0" w:line="240" w:lineRule="auto"/>
        <w:ind w:left="0" w:hanging="2"/>
        <w:rPr>
          <w:rFonts w:ascii="Calibri" w:cs="Calibri" w:eastAsia="Calibri" w:hAnsi="Calibri"/>
          <w:b w:val="1"/>
          <w:bCs w:val="1"/>
          <w:color w:val="000000"/>
          <w:sz w:val="22"/>
          <w:szCs w:val="22"/>
        </w:rPr>
      </w:pPr>
      <w:r w:rsidDel="00000000" w:rsidR="00000000" w:rsidRPr="00000000">
        <w:rPr>
          <w:rFonts w:ascii="Calibri" w:cs="Calibri" w:eastAsia="Calibri" w:hAnsi="Calibri"/>
          <w:color w:val="000000"/>
          <w:sz w:val="22"/>
          <w:szCs w:val="22"/>
          <w:u w:val="single"/>
          <w:rtl w:val="0"/>
        </w:rPr>
        <w:t xml:space="preserve">System sygnalizacjo-alarmowy:</w:t>
      </w:r>
      <w:r w:rsidDel="00000000" w:rsidR="00000000" w:rsidRPr="00000000">
        <w:rPr>
          <w:rtl w:val="0"/>
        </w:rPr>
      </w:r>
    </w:p>
    <w:p w:rsidR="00000000" w:rsidDel="00000000" w:rsidP="00000000" w:rsidRDefault="00000000" w:rsidRPr="00000000" w14:paraId="000000AB">
      <w:pPr>
        <w:pBdr>
          <w:top w:space="0" w:sz="0" w:val="nil"/>
          <w:left w:space="0" w:sz="0" w:val="nil"/>
          <w:bottom w:space="0" w:sz="0" w:val="nil"/>
          <w:right w:space="0" w:sz="0" w:val="nil"/>
          <w:between w:space="0" w:sz="0" w:val="nil"/>
        </w:pBdr>
        <w:tabs>
          <w:tab w:val="left" w:leader="none" w:pos="1418"/>
        </w:tabs>
        <w:spacing w:after="0"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Wymagania szczegółowe dla systemu sygnalizacyjno-alarmowego określono w opracowaniu „Eksploatacyjne wytyczne projektowania oraz wykonania rurociągów preizolowanych w osłonie PE-HD – Część I - Wymagania techniczne” stanowiącymi załącznik nr 3 do specyfikacji technicznej oraz „Specyfikacja techniczna: Rury i elementy preizolowane w osłonie PE-HD” stanowiącymi załącznik nr 3A do specyfikacji technicznej.</w:t>
      </w:r>
    </w:p>
    <w:p w:rsidR="00000000" w:rsidDel="00000000" w:rsidP="00000000" w:rsidRDefault="00000000" w:rsidRPr="00000000" w14:paraId="000000AC">
      <w:pPr>
        <w:numPr>
          <w:ilvl w:val="0"/>
          <w:numId w:val="15"/>
        </w:numPr>
        <w:pBdr>
          <w:top w:space="0" w:sz="0" w:val="nil"/>
          <w:left w:space="0" w:sz="0" w:val="nil"/>
          <w:bottom w:space="0" w:sz="0" w:val="nil"/>
          <w:right w:space="0" w:sz="0" w:val="nil"/>
          <w:between w:space="0" w:sz="0" w:val="nil"/>
        </w:pBdr>
        <w:tabs>
          <w:tab w:val="left" w:leader="none" w:pos="1134"/>
        </w:tabs>
        <w:spacing w:after="0"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wg ZN-96/TPSA-021 lub równoważnej,</w:t>
      </w:r>
    </w:p>
    <w:p w:rsidR="00000000" w:rsidDel="00000000" w:rsidP="00000000" w:rsidRDefault="00000000" w:rsidRPr="00000000" w14:paraId="000000AD">
      <w:pPr>
        <w:pBdr>
          <w:top w:space="0" w:sz="0" w:val="nil"/>
          <w:left w:space="0" w:sz="0" w:val="nil"/>
          <w:bottom w:space="0" w:sz="0" w:val="nil"/>
          <w:right w:space="0" w:sz="0" w:val="nil"/>
          <w:between w:space="0" w:sz="0" w:val="nil"/>
        </w:pBdr>
        <w:tabs>
          <w:tab w:val="left" w:leader="none" w:pos="1134"/>
        </w:tabs>
        <w:spacing w:after="0" w:line="240" w:lineRule="auto"/>
        <w:ind w:left="0" w:hanging="2"/>
        <w:rPr>
          <w:rFonts w:ascii="Calibri" w:cs="Calibri" w:eastAsia="Calibri" w:hAnsi="Calibri"/>
          <w:color w:val="000000"/>
          <w:sz w:val="22"/>
          <w:szCs w:val="22"/>
        </w:rPr>
      </w:pPr>
      <w:bookmarkStart w:colFirst="0" w:colLast="0" w:name="_heading=h.44sinio" w:id="18"/>
      <w:bookmarkEnd w:id="18"/>
      <w:r w:rsidDel="00000000" w:rsidR="00000000" w:rsidRPr="00000000">
        <w:rPr>
          <w:rtl w:val="0"/>
        </w:rPr>
      </w:r>
    </w:p>
    <w:p w:rsidR="00000000" w:rsidDel="00000000" w:rsidP="00000000" w:rsidRDefault="00000000" w:rsidRPr="00000000" w14:paraId="000000AE">
      <w:pPr>
        <w:keepNext w:val="1"/>
        <w:numPr>
          <w:ilvl w:val="0"/>
          <w:numId w:val="24"/>
        </w:numPr>
        <w:pBdr>
          <w:top w:space="0" w:sz="0" w:val="nil"/>
          <w:left w:space="0" w:sz="0" w:val="nil"/>
          <w:bottom w:space="0" w:sz="0" w:val="nil"/>
          <w:right w:space="0" w:sz="0" w:val="nil"/>
          <w:between w:space="0" w:sz="0" w:val="nil"/>
        </w:pBdr>
        <w:spacing w:before="240" w:line="240" w:lineRule="auto"/>
        <w:ind w:left="0" w:hanging="2"/>
        <w:rPr>
          <w:rFonts w:ascii="Calibri" w:cs="Calibri" w:eastAsia="Calibri" w:hAnsi="Calibri"/>
          <w:b w:val="1"/>
          <w:bCs w:val="1"/>
          <w:color w:val="000000"/>
        </w:rPr>
      </w:pPr>
      <w:r w:rsidDel="00000000" w:rsidR="00000000" w:rsidRPr="00000000">
        <w:rPr>
          <w:rFonts w:ascii="Calibri" w:cs="Calibri" w:eastAsia="Calibri" w:hAnsi="Calibri"/>
          <w:b w:val="1"/>
          <w:bCs w:val="1"/>
          <w:color w:val="000000"/>
          <w:rtl w:val="0"/>
        </w:rPr>
        <w:t xml:space="preserve">WYMAGANIA DOTYCZĄCE SPRZĘTU I MASZYN</w:t>
      </w:r>
    </w:p>
    <w:p w:rsidR="00000000" w:rsidDel="00000000" w:rsidP="00000000" w:rsidRDefault="00000000" w:rsidRPr="00000000" w14:paraId="000000AF">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0B0">
      <w:pPr>
        <w:pBdr>
          <w:top w:space="0" w:sz="0" w:val="nil"/>
          <w:left w:space="0" w:sz="0" w:val="nil"/>
          <w:bottom w:space="0" w:sz="0" w:val="nil"/>
          <w:right w:space="0" w:sz="0" w:val="nil"/>
          <w:between w:space="0" w:sz="0" w:val="nil"/>
        </w:pBdr>
        <w:tabs>
          <w:tab w:val="left" w:leader="none" w:pos="1418"/>
        </w:tabs>
        <w:spacing w:after="0"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Wymagania ogólne dotyczące sprzętu i maszyn zostały zawarte w ST Tom I pkt 14.</w:t>
      </w:r>
    </w:p>
    <w:p w:rsidR="00000000" w:rsidDel="00000000" w:rsidP="00000000" w:rsidRDefault="00000000" w:rsidRPr="00000000" w14:paraId="000000B1">
      <w:pPr>
        <w:pBdr>
          <w:top w:space="0" w:sz="0" w:val="nil"/>
          <w:left w:space="0" w:sz="0" w:val="nil"/>
          <w:bottom w:space="0" w:sz="0" w:val="nil"/>
          <w:right w:space="0" w:sz="0" w:val="nil"/>
          <w:between w:space="0" w:sz="0" w:val="nil"/>
        </w:pBdr>
        <w:tabs>
          <w:tab w:val="left" w:leader="none" w:pos="1418"/>
        </w:tabs>
        <w:spacing w:after="0"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 </w:t>
      </w:r>
    </w:p>
    <w:p w:rsidR="00000000" w:rsidDel="00000000" w:rsidP="00000000" w:rsidRDefault="00000000" w:rsidRPr="00000000" w14:paraId="000000B2">
      <w:pPr>
        <w:numPr>
          <w:ilvl w:val="0"/>
          <w:numId w:val="6"/>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Wykonawca jest zobowiązany do stosowania jedynie takiego sprzętu, który nie spowoduje niekorzystnego wpływu na jakość wykonywanych robót.</w:t>
      </w:r>
    </w:p>
    <w:p w:rsidR="00000000" w:rsidDel="00000000" w:rsidP="00000000" w:rsidRDefault="00000000" w:rsidRPr="00000000" w14:paraId="000000B3">
      <w:pPr>
        <w:numPr>
          <w:ilvl w:val="0"/>
          <w:numId w:val="6"/>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Liczba i wydajność sprzętu będzie gwarantować przeprowadzenie robót zgodnie z zasadami określonymi w dokumentacji projektowej oraz w terminie przewidzianym umową.</w:t>
      </w:r>
    </w:p>
    <w:p w:rsidR="00000000" w:rsidDel="00000000" w:rsidP="00000000" w:rsidRDefault="00000000" w:rsidRPr="00000000" w14:paraId="000000B4">
      <w:pPr>
        <w:numPr>
          <w:ilvl w:val="0"/>
          <w:numId w:val="6"/>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Sprzęt, będący własnością Wykonawcy lub wynajęty do wykonania robót, będzie utrzymywany w dobrym stanie i gotowości do pracy. Będzie on zgodny z normami ochrony środowiska i przepisami dotyczącymi jego użytkowania.</w:t>
      </w:r>
    </w:p>
    <w:p w:rsidR="00000000" w:rsidDel="00000000" w:rsidP="00000000" w:rsidRDefault="00000000" w:rsidRPr="00000000" w14:paraId="000000B5">
      <w:pPr>
        <w:numPr>
          <w:ilvl w:val="0"/>
          <w:numId w:val="6"/>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Maszyny i inne urządzenia techniczne należy eksploatować, konserwować i naprawiać zgodnie z instrukcją producenta, w sposób zapewniający ich sprawne działanie.</w:t>
      </w:r>
    </w:p>
    <w:p w:rsidR="00000000" w:rsidDel="00000000" w:rsidP="00000000" w:rsidRDefault="00000000" w:rsidRPr="00000000" w14:paraId="000000B6">
      <w:pPr>
        <w:numPr>
          <w:ilvl w:val="0"/>
          <w:numId w:val="6"/>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Maszyny, urządzenia i sprzęt zmechanizowany używane na budowie powinny być ustawione i użytkowane zgodnie z wymaganiami Producenta i ich przeznaczeniem.</w:t>
      </w:r>
    </w:p>
    <w:p w:rsidR="00000000" w:rsidDel="00000000" w:rsidP="00000000" w:rsidRDefault="00000000" w:rsidRPr="00000000" w14:paraId="000000B7">
      <w:pPr>
        <w:numPr>
          <w:ilvl w:val="0"/>
          <w:numId w:val="6"/>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Maszyny i inne urządzenia techniczne powinny być:</w:t>
      </w:r>
    </w:p>
    <w:p w:rsidR="00000000" w:rsidDel="00000000" w:rsidP="00000000" w:rsidRDefault="00000000" w:rsidRPr="00000000" w14:paraId="000000B8">
      <w:pPr>
        <w:numPr>
          <w:ilvl w:val="0"/>
          <w:numId w:val="7"/>
        </w:numPr>
        <w:pBdr>
          <w:top w:space="0" w:sz="0" w:val="nil"/>
          <w:left w:space="0" w:sz="0" w:val="nil"/>
          <w:bottom w:space="0" w:sz="0" w:val="nil"/>
          <w:right w:space="0" w:sz="0" w:val="nil"/>
          <w:between w:space="0" w:sz="0" w:val="nil"/>
        </w:pBdr>
        <w:spacing w:after="0"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utrzymywane w stanie zapewniającym ich sprawność;</w:t>
      </w:r>
    </w:p>
    <w:p w:rsidR="00000000" w:rsidDel="00000000" w:rsidP="00000000" w:rsidRDefault="00000000" w:rsidRPr="00000000" w14:paraId="000000B9">
      <w:pPr>
        <w:numPr>
          <w:ilvl w:val="0"/>
          <w:numId w:val="7"/>
        </w:numPr>
        <w:pBdr>
          <w:top w:space="0" w:sz="0" w:val="nil"/>
          <w:left w:space="0" w:sz="0" w:val="nil"/>
          <w:bottom w:space="0" w:sz="0" w:val="nil"/>
          <w:right w:space="0" w:sz="0" w:val="nil"/>
          <w:between w:space="0" w:sz="0" w:val="nil"/>
        </w:pBdr>
        <w:spacing w:after="0"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stosowane wyłącznie do prac, do jakich zostały przeznaczone;</w:t>
      </w:r>
    </w:p>
    <w:p w:rsidR="00000000" w:rsidDel="00000000" w:rsidP="00000000" w:rsidRDefault="00000000" w:rsidRPr="00000000" w14:paraId="000000BA">
      <w:pPr>
        <w:numPr>
          <w:ilvl w:val="0"/>
          <w:numId w:val="7"/>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obsługiwane przez  osoby posiadające wymagane uprawnienia</w:t>
      </w:r>
    </w:p>
    <w:p w:rsidR="00000000" w:rsidDel="00000000" w:rsidP="00000000" w:rsidRDefault="00000000" w:rsidRPr="00000000" w14:paraId="000000BB">
      <w:pPr>
        <w:numPr>
          <w:ilvl w:val="0"/>
          <w:numId w:val="6"/>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Eksploatowane na budowie urządzenia i sprzęt zmechanizowany podlegające przepisom o dozorze technicznym powinny posiadać ważne dokumenty uprawniające do ich eksploatacji. Dokumenty te powinny być dostępne dla organów kontroli w miejscu eksploatacji maszyn i urządzeń.</w:t>
      </w:r>
    </w:p>
    <w:p w:rsidR="00000000" w:rsidDel="00000000" w:rsidP="00000000" w:rsidRDefault="00000000" w:rsidRPr="00000000" w14:paraId="000000BC">
      <w:pPr>
        <w:numPr>
          <w:ilvl w:val="0"/>
          <w:numId w:val="6"/>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Na stanowiskach pracy przy stacjonarnych maszynach i innych urządzeniach technicznych powinny być dostępne instrukcje bezpiecznej obsługi i konserwacji.</w:t>
      </w:r>
    </w:p>
    <w:p w:rsidR="00000000" w:rsidDel="00000000" w:rsidP="00000000" w:rsidRDefault="00000000" w:rsidRPr="00000000" w14:paraId="000000BD">
      <w:pPr>
        <w:numPr>
          <w:ilvl w:val="0"/>
          <w:numId w:val="6"/>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Do wykonania robót należy zastosować sprzęt i maszyny właściwe dla danego rodzaju robót.</w:t>
      </w:r>
    </w:p>
    <w:p w:rsidR="00000000" w:rsidDel="00000000" w:rsidP="00000000" w:rsidRDefault="00000000" w:rsidRPr="00000000" w14:paraId="000000BE">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0BF">
      <w:pPr>
        <w:keepNext w:val="1"/>
        <w:numPr>
          <w:ilvl w:val="0"/>
          <w:numId w:val="24"/>
        </w:numPr>
        <w:pBdr>
          <w:top w:space="0" w:sz="0" w:val="nil"/>
          <w:left w:space="0" w:sz="0" w:val="nil"/>
          <w:bottom w:space="0" w:sz="0" w:val="nil"/>
          <w:right w:space="0" w:sz="0" w:val="nil"/>
          <w:between w:space="0" w:sz="0" w:val="nil"/>
        </w:pBdr>
        <w:spacing w:before="240" w:line="240" w:lineRule="auto"/>
        <w:ind w:left="0" w:hanging="2"/>
        <w:rPr>
          <w:rFonts w:ascii="Calibri" w:cs="Calibri" w:eastAsia="Calibri" w:hAnsi="Calibri"/>
          <w:b w:val="1"/>
          <w:bCs w:val="1"/>
          <w:color w:val="000000"/>
          <w:sz w:val="22"/>
          <w:szCs w:val="22"/>
        </w:rPr>
      </w:pPr>
      <w:bookmarkStart w:colFirst="0" w:colLast="0" w:name="_heading=h.2jxsxqh" w:id="19"/>
      <w:bookmarkEnd w:id="19"/>
      <w:r w:rsidDel="00000000" w:rsidR="00000000" w:rsidRPr="00000000">
        <w:rPr>
          <w:rFonts w:ascii="Calibri" w:cs="Calibri" w:eastAsia="Calibri" w:hAnsi="Calibri"/>
          <w:b w:val="1"/>
          <w:bCs w:val="1"/>
          <w:color w:val="000000"/>
          <w:sz w:val="22"/>
          <w:szCs w:val="22"/>
          <w:u w:val="single"/>
          <w:rtl w:val="0"/>
        </w:rPr>
        <w:t xml:space="preserve"> </w:t>
      </w:r>
      <w:r w:rsidDel="00000000" w:rsidR="00000000" w:rsidRPr="00000000">
        <w:rPr>
          <w:rFonts w:ascii="Calibri" w:cs="Calibri" w:eastAsia="Calibri" w:hAnsi="Calibri"/>
          <w:b w:val="1"/>
          <w:bCs w:val="1"/>
          <w:color w:val="000000"/>
          <w:rtl w:val="0"/>
        </w:rPr>
        <w:t xml:space="preserve">WYMAGANIA DOTYCZĄCE ŚRODKÓW TRANSPORTU</w:t>
      </w:r>
      <w:r w:rsidDel="00000000" w:rsidR="00000000" w:rsidRPr="00000000">
        <w:rPr>
          <w:rtl w:val="0"/>
        </w:rPr>
      </w:r>
    </w:p>
    <w:p w:rsidR="00000000" w:rsidDel="00000000" w:rsidP="00000000" w:rsidRDefault="00000000" w:rsidRPr="00000000" w14:paraId="000000C0">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0C1">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              Informacje dotyczące środków transportu zostały zawarte w ST Tom I pkt 15.</w:t>
      </w:r>
    </w:p>
    <w:p w:rsidR="00000000" w:rsidDel="00000000" w:rsidP="00000000" w:rsidRDefault="00000000" w:rsidRPr="00000000" w14:paraId="000000C2">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bookmarkStart w:colFirst="0" w:colLast="0" w:name="_heading=h.z337ya" w:id="20"/>
      <w:bookmarkEnd w:id="20"/>
      <w:r w:rsidDel="00000000" w:rsidR="00000000" w:rsidRPr="00000000">
        <w:rPr>
          <w:rtl w:val="0"/>
        </w:rPr>
      </w:r>
    </w:p>
    <w:p w:rsidR="00000000" w:rsidDel="00000000" w:rsidP="00000000" w:rsidRDefault="00000000" w:rsidRPr="00000000" w14:paraId="000000C3">
      <w:pPr>
        <w:keepNext w:val="1"/>
        <w:numPr>
          <w:ilvl w:val="1"/>
          <w:numId w:val="24"/>
        </w:numPr>
        <w:pBdr>
          <w:top w:space="0" w:sz="0" w:val="nil"/>
          <w:left w:space="0" w:sz="0" w:val="nil"/>
          <w:bottom w:space="0" w:sz="0" w:val="nil"/>
          <w:right w:space="0" w:sz="0" w:val="nil"/>
          <w:between w:space="0" w:sz="0" w:val="nil"/>
        </w:pBdr>
        <w:spacing w:line="240" w:lineRule="auto"/>
        <w:ind w:left="0" w:hanging="2"/>
        <w:jc w:val="left"/>
        <w:rPr>
          <w:rFonts w:ascii="Calibri" w:cs="Calibri" w:eastAsia="Calibri" w:hAnsi="Calibri"/>
          <w:b w:val="1"/>
          <w:bCs w:val="1"/>
          <w:color w:val="000000"/>
          <w:sz w:val="22"/>
          <w:szCs w:val="22"/>
        </w:rPr>
      </w:pPr>
      <w:r w:rsidDel="00000000" w:rsidR="00000000" w:rsidRPr="00000000">
        <w:rPr>
          <w:rFonts w:ascii="Calibri" w:cs="Calibri" w:eastAsia="Calibri" w:hAnsi="Calibri"/>
          <w:b w:val="1"/>
          <w:bCs w:val="1"/>
          <w:color w:val="000000"/>
          <w:sz w:val="22"/>
          <w:szCs w:val="22"/>
          <w:rtl w:val="0"/>
        </w:rPr>
        <w:t xml:space="preserve">Wymagania ogólne</w:t>
      </w:r>
    </w:p>
    <w:p w:rsidR="00000000" w:rsidDel="00000000" w:rsidP="00000000" w:rsidRDefault="00000000" w:rsidRPr="00000000" w14:paraId="000000C4">
      <w:pPr>
        <w:numPr>
          <w:ilvl w:val="2"/>
          <w:numId w:val="38"/>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Wykonawca jest zobowiązany do stosowania jedynie takich środków transportu, które nie wpłyną niekorzystnie na jakość wykonywanych robót i na właściwości przewożonych materiałów.</w:t>
      </w:r>
    </w:p>
    <w:p w:rsidR="00000000" w:rsidDel="00000000" w:rsidP="00000000" w:rsidRDefault="00000000" w:rsidRPr="00000000" w14:paraId="000000C5">
      <w:pPr>
        <w:numPr>
          <w:ilvl w:val="2"/>
          <w:numId w:val="38"/>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Wykonawca będzie usuwać na bieżąco, na własny koszt, wszelkie zanieczyszczenia spowodowane pojazdami obsługującymi budowę na drogach publicznych oraz dojazdach do placu budowy.</w:t>
      </w:r>
    </w:p>
    <w:p w:rsidR="00000000" w:rsidDel="00000000" w:rsidP="00000000" w:rsidRDefault="00000000" w:rsidRPr="00000000" w14:paraId="000000C6">
      <w:pPr>
        <w:numPr>
          <w:ilvl w:val="2"/>
          <w:numId w:val="38"/>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bookmarkStart w:colFirst="0" w:colLast="0" w:name="_heading=h.3j2qqm3" w:id="21"/>
      <w:bookmarkEnd w:id="21"/>
      <w:r w:rsidDel="00000000" w:rsidR="00000000" w:rsidRPr="00000000">
        <w:rPr>
          <w:rFonts w:ascii="Calibri" w:cs="Calibri" w:eastAsia="Calibri" w:hAnsi="Calibri"/>
          <w:sz w:val="22"/>
          <w:szCs w:val="22"/>
          <w:rtl w:val="0"/>
        </w:rPr>
        <w:t xml:space="preserve">Ś</w:t>
      </w:r>
      <w:r w:rsidDel="00000000" w:rsidR="00000000" w:rsidRPr="00000000">
        <w:rPr>
          <w:rFonts w:ascii="Calibri" w:cs="Calibri" w:eastAsia="Calibri" w:hAnsi="Calibri"/>
          <w:color w:val="000000"/>
          <w:sz w:val="22"/>
          <w:szCs w:val="22"/>
          <w:rtl w:val="0"/>
        </w:rPr>
        <w:t xml:space="preserve">rodki i urządzenia transportowe powinny być odpowiednio przystosowane do transportu materiałów, elementów, konstrukcji, urządzeń itp. niezbędnych do wykonywania danego rodzaju robót.</w:t>
      </w:r>
    </w:p>
    <w:p w:rsidR="00000000" w:rsidDel="00000000" w:rsidP="00000000" w:rsidRDefault="00000000" w:rsidRPr="00000000" w14:paraId="000000C7">
      <w:pPr>
        <w:keepNext w:val="1"/>
        <w:numPr>
          <w:ilvl w:val="1"/>
          <w:numId w:val="24"/>
        </w:numPr>
        <w:pBdr>
          <w:top w:space="0" w:sz="0" w:val="nil"/>
          <w:left w:space="0" w:sz="0" w:val="nil"/>
          <w:bottom w:space="0" w:sz="0" w:val="nil"/>
          <w:right w:space="0" w:sz="0" w:val="nil"/>
          <w:between w:space="0" w:sz="0" w:val="nil"/>
        </w:pBdr>
        <w:spacing w:line="240" w:lineRule="auto"/>
        <w:ind w:left="0" w:hanging="2"/>
        <w:jc w:val="left"/>
        <w:rPr>
          <w:rFonts w:ascii="Calibri" w:cs="Calibri" w:eastAsia="Calibri" w:hAnsi="Calibri"/>
          <w:b w:val="1"/>
          <w:bCs w:val="1"/>
          <w:color w:val="000000"/>
          <w:sz w:val="22"/>
          <w:szCs w:val="22"/>
        </w:rPr>
      </w:pPr>
      <w:r w:rsidDel="00000000" w:rsidR="00000000" w:rsidRPr="00000000">
        <w:rPr>
          <w:rFonts w:ascii="Calibri" w:cs="Calibri" w:eastAsia="Calibri" w:hAnsi="Calibri"/>
          <w:b w:val="1"/>
          <w:bCs w:val="1"/>
          <w:color w:val="000000"/>
          <w:sz w:val="22"/>
          <w:szCs w:val="22"/>
          <w:rtl w:val="0"/>
        </w:rPr>
        <w:t xml:space="preserve">Środki transportu</w:t>
      </w:r>
    </w:p>
    <w:p w:rsidR="00000000" w:rsidDel="00000000" w:rsidP="00000000" w:rsidRDefault="00000000" w:rsidRPr="00000000" w14:paraId="000000C8">
      <w:pPr>
        <w:pBdr>
          <w:top w:space="0" w:sz="0" w:val="nil"/>
          <w:left w:space="0" w:sz="0" w:val="nil"/>
          <w:bottom w:space="0" w:sz="0" w:val="nil"/>
          <w:right w:space="0" w:sz="0" w:val="nil"/>
          <w:between w:space="0" w:sz="0" w:val="nil"/>
        </w:pBdr>
        <w:tabs>
          <w:tab w:val="left" w:leader="none" w:pos="851"/>
        </w:tabs>
        <w:spacing w:after="0"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Do realizacji robót zakłada się wykorzystanie następujących maszyn budowlanych i sprzętu:</w:t>
      </w:r>
    </w:p>
    <w:p w:rsidR="00000000" w:rsidDel="00000000" w:rsidP="00000000" w:rsidRDefault="00000000" w:rsidRPr="00000000" w14:paraId="000000C9">
      <w:pPr>
        <w:numPr>
          <w:ilvl w:val="0"/>
          <w:numId w:val="40"/>
        </w:numPr>
        <w:pBdr>
          <w:top w:space="0" w:sz="0" w:val="nil"/>
          <w:left w:space="0" w:sz="0" w:val="nil"/>
          <w:bottom w:space="0" w:sz="0" w:val="nil"/>
          <w:right w:space="0" w:sz="0" w:val="nil"/>
          <w:between w:space="0" w:sz="0" w:val="nil"/>
        </w:pBdr>
        <w:spacing w:after="0"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samochody samowyładowawcze 5t</w:t>
      </w:r>
    </w:p>
    <w:p w:rsidR="00000000" w:rsidDel="00000000" w:rsidP="00000000" w:rsidRDefault="00000000" w:rsidRPr="00000000" w14:paraId="000000CA">
      <w:pPr>
        <w:numPr>
          <w:ilvl w:val="0"/>
          <w:numId w:val="40"/>
        </w:numPr>
        <w:pBdr>
          <w:top w:space="0" w:sz="0" w:val="nil"/>
          <w:left w:space="0" w:sz="0" w:val="nil"/>
          <w:bottom w:space="0" w:sz="0" w:val="nil"/>
          <w:right w:space="0" w:sz="0" w:val="nil"/>
          <w:between w:space="0" w:sz="0" w:val="nil"/>
        </w:pBdr>
        <w:spacing w:after="0"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koparki poj. łyżki 0,5m</w:t>
      </w:r>
      <w:r w:rsidDel="00000000" w:rsidR="00000000" w:rsidRPr="00000000">
        <w:rPr>
          <w:rFonts w:ascii="Calibri" w:cs="Calibri" w:eastAsia="Calibri" w:hAnsi="Calibri"/>
          <w:color w:val="000000"/>
          <w:sz w:val="22"/>
          <w:szCs w:val="22"/>
          <w:vertAlign w:val="superscript"/>
          <w:rtl w:val="0"/>
        </w:rPr>
        <w:t xml:space="preserve">3</w:t>
      </w:r>
      <w:r w:rsidDel="00000000" w:rsidR="00000000" w:rsidRPr="00000000">
        <w:rPr>
          <w:rtl w:val="0"/>
        </w:rPr>
      </w:r>
    </w:p>
    <w:p w:rsidR="00000000" w:rsidDel="00000000" w:rsidP="00000000" w:rsidRDefault="00000000" w:rsidRPr="00000000" w14:paraId="000000CB">
      <w:pPr>
        <w:numPr>
          <w:ilvl w:val="0"/>
          <w:numId w:val="40"/>
        </w:numPr>
        <w:pBdr>
          <w:top w:space="0" w:sz="0" w:val="nil"/>
          <w:left w:space="0" w:sz="0" w:val="nil"/>
          <w:bottom w:space="0" w:sz="0" w:val="nil"/>
          <w:right w:space="0" w:sz="0" w:val="nil"/>
          <w:between w:space="0" w:sz="0" w:val="nil"/>
        </w:pBdr>
        <w:spacing w:after="0"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spycharki 75KM</w:t>
      </w:r>
    </w:p>
    <w:p w:rsidR="00000000" w:rsidDel="00000000" w:rsidP="00000000" w:rsidRDefault="00000000" w:rsidRPr="00000000" w14:paraId="000000CC">
      <w:pPr>
        <w:numPr>
          <w:ilvl w:val="0"/>
          <w:numId w:val="40"/>
        </w:numPr>
        <w:pBdr>
          <w:top w:space="0" w:sz="0" w:val="nil"/>
          <w:left w:space="0" w:sz="0" w:val="nil"/>
          <w:bottom w:space="0" w:sz="0" w:val="nil"/>
          <w:right w:space="0" w:sz="0" w:val="nil"/>
          <w:between w:space="0" w:sz="0" w:val="nil"/>
        </w:pBdr>
        <w:spacing w:after="0"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żuraw samojezdny 5-6t</w:t>
      </w:r>
    </w:p>
    <w:p w:rsidR="00000000" w:rsidDel="00000000" w:rsidP="00000000" w:rsidRDefault="00000000" w:rsidRPr="00000000" w14:paraId="000000CD">
      <w:pPr>
        <w:numPr>
          <w:ilvl w:val="0"/>
          <w:numId w:val="40"/>
        </w:numPr>
        <w:pBdr>
          <w:top w:space="0" w:sz="0" w:val="nil"/>
          <w:left w:space="0" w:sz="0" w:val="nil"/>
          <w:bottom w:space="0" w:sz="0" w:val="nil"/>
          <w:right w:space="0" w:sz="0" w:val="nil"/>
          <w:between w:space="0" w:sz="0" w:val="nil"/>
        </w:pBdr>
        <w:spacing w:after="0"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wyciąg budowlany jednomasztowy</w:t>
      </w:r>
    </w:p>
    <w:p w:rsidR="00000000" w:rsidDel="00000000" w:rsidP="00000000" w:rsidRDefault="00000000" w:rsidRPr="00000000" w14:paraId="000000CE">
      <w:pPr>
        <w:pBdr>
          <w:top w:space="0" w:sz="0" w:val="nil"/>
          <w:left w:space="0" w:sz="0" w:val="nil"/>
          <w:bottom w:space="0" w:sz="0" w:val="nil"/>
          <w:right w:space="0" w:sz="0" w:val="nil"/>
          <w:between w:space="0" w:sz="0" w:val="nil"/>
        </w:pBdr>
        <w:spacing w:after="0" w:line="240" w:lineRule="auto"/>
        <w:ind w:left="0" w:hanging="2"/>
        <w:rPr>
          <w:rFonts w:ascii="Calibri" w:cs="Calibri" w:eastAsia="Calibri" w:hAnsi="Calibri"/>
          <w:color w:val="000000"/>
          <w:sz w:val="22"/>
          <w:szCs w:val="22"/>
        </w:rPr>
      </w:pPr>
      <w:bookmarkStart w:colFirst="0" w:colLast="0" w:name="_heading=h.1y810tw" w:id="22"/>
      <w:bookmarkEnd w:id="22"/>
      <w:r w:rsidDel="00000000" w:rsidR="00000000" w:rsidRPr="00000000">
        <w:rPr>
          <w:rtl w:val="0"/>
        </w:rPr>
      </w:r>
    </w:p>
    <w:p w:rsidR="00000000" w:rsidDel="00000000" w:rsidP="00000000" w:rsidRDefault="00000000" w:rsidRPr="00000000" w14:paraId="000000CF">
      <w:pPr>
        <w:keepNext w:val="1"/>
        <w:numPr>
          <w:ilvl w:val="0"/>
          <w:numId w:val="24"/>
        </w:numPr>
        <w:pBdr>
          <w:top w:space="0" w:sz="0" w:val="nil"/>
          <w:left w:space="0" w:sz="0" w:val="nil"/>
          <w:bottom w:space="0" w:sz="0" w:val="nil"/>
          <w:right w:space="0" w:sz="0" w:val="nil"/>
          <w:between w:space="0" w:sz="0" w:val="nil"/>
        </w:pBdr>
        <w:spacing w:before="240" w:line="240" w:lineRule="auto"/>
        <w:ind w:left="0" w:hanging="2"/>
        <w:rPr>
          <w:rFonts w:ascii="Calibri" w:cs="Calibri" w:eastAsia="Calibri" w:hAnsi="Calibri"/>
          <w:b w:val="1"/>
          <w:bCs w:val="1"/>
          <w:color w:val="000000"/>
        </w:rPr>
      </w:pPr>
      <w:r w:rsidDel="00000000" w:rsidR="00000000" w:rsidRPr="00000000">
        <w:rPr>
          <w:rFonts w:ascii="Calibri" w:cs="Calibri" w:eastAsia="Calibri" w:hAnsi="Calibri"/>
          <w:b w:val="1"/>
          <w:bCs w:val="1"/>
          <w:color w:val="000000"/>
          <w:rtl w:val="0"/>
        </w:rPr>
        <w:t xml:space="preserve">WYMAGANIA DOTYCZĄCE WYKONANIA ROBÓT BUDOWLANYCH</w:t>
      </w:r>
    </w:p>
    <w:p w:rsidR="00000000" w:rsidDel="00000000" w:rsidP="00000000" w:rsidRDefault="00000000" w:rsidRPr="00000000" w14:paraId="000000D0">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0D1">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Ogólne wymagania dotyczące wykonania robót budowlanych zostały zawarte w ST Tom I pkt 16.</w:t>
      </w:r>
    </w:p>
    <w:p w:rsidR="00000000" w:rsidDel="00000000" w:rsidP="00000000" w:rsidRDefault="00000000" w:rsidRPr="00000000" w14:paraId="000000D2">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bookmarkStart w:colFirst="0" w:colLast="0" w:name="_heading=h.4i7ojhp" w:id="23"/>
      <w:bookmarkEnd w:id="23"/>
      <w:r w:rsidDel="00000000" w:rsidR="00000000" w:rsidRPr="00000000">
        <w:rPr>
          <w:rtl w:val="0"/>
        </w:rPr>
      </w:r>
    </w:p>
    <w:p w:rsidR="00000000" w:rsidDel="00000000" w:rsidP="00000000" w:rsidRDefault="00000000" w:rsidRPr="00000000" w14:paraId="000000D3">
      <w:pPr>
        <w:keepNext w:val="1"/>
        <w:numPr>
          <w:ilvl w:val="1"/>
          <w:numId w:val="24"/>
        </w:numPr>
        <w:pBdr>
          <w:top w:space="0" w:sz="0" w:val="nil"/>
          <w:left w:space="0" w:sz="0" w:val="nil"/>
          <w:bottom w:space="0" w:sz="0" w:val="nil"/>
          <w:right w:space="0" w:sz="0" w:val="nil"/>
          <w:between w:space="0" w:sz="0" w:val="nil"/>
        </w:pBdr>
        <w:spacing w:line="240" w:lineRule="auto"/>
        <w:ind w:left="0" w:hanging="2"/>
        <w:jc w:val="left"/>
        <w:rPr>
          <w:rFonts w:ascii="Calibri" w:cs="Calibri" w:eastAsia="Calibri" w:hAnsi="Calibri"/>
          <w:b w:val="1"/>
          <w:bCs w:val="1"/>
          <w:color w:val="000000"/>
          <w:sz w:val="22"/>
          <w:szCs w:val="22"/>
        </w:rPr>
      </w:pPr>
      <w:r w:rsidDel="00000000" w:rsidR="00000000" w:rsidRPr="00000000">
        <w:rPr>
          <w:rFonts w:ascii="Calibri" w:cs="Calibri" w:eastAsia="Calibri" w:hAnsi="Calibri"/>
          <w:b w:val="1"/>
          <w:bCs w:val="1"/>
          <w:color w:val="000000"/>
          <w:sz w:val="22"/>
          <w:szCs w:val="22"/>
          <w:rtl w:val="0"/>
        </w:rPr>
        <w:t xml:space="preserve">Jakość świadczeń:</w:t>
      </w:r>
    </w:p>
    <w:p w:rsidR="00000000" w:rsidDel="00000000" w:rsidP="00000000" w:rsidRDefault="00000000" w:rsidRPr="00000000" w14:paraId="000000D4">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Całość sieci ciepłowniczej w zakresie robót sanitarnych powinna być tak dobrana i zamontowana, aby:</w:t>
      </w:r>
    </w:p>
    <w:p w:rsidR="00000000" w:rsidDel="00000000" w:rsidP="00000000" w:rsidRDefault="00000000" w:rsidRPr="00000000" w14:paraId="000000D5">
      <w:pPr>
        <w:numPr>
          <w:ilvl w:val="0"/>
          <w:numId w:val="9"/>
        </w:numPr>
        <w:pBdr>
          <w:top w:space="0" w:sz="0" w:val="nil"/>
          <w:left w:space="0" w:sz="0" w:val="nil"/>
          <w:bottom w:space="0" w:sz="0" w:val="nil"/>
          <w:right w:space="0" w:sz="0" w:val="nil"/>
          <w:between w:space="0" w:sz="0" w:val="nil"/>
        </w:pBdr>
        <w:spacing w:after="0"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w wyniku dostępu wody nie mogły wystąpić żadne uszkodzenia;</w:t>
      </w:r>
    </w:p>
    <w:p w:rsidR="00000000" w:rsidDel="00000000" w:rsidP="00000000" w:rsidRDefault="00000000" w:rsidRPr="00000000" w14:paraId="000000D6">
      <w:pPr>
        <w:numPr>
          <w:ilvl w:val="0"/>
          <w:numId w:val="9"/>
        </w:numPr>
        <w:pBdr>
          <w:top w:space="0" w:sz="0" w:val="nil"/>
          <w:left w:space="0" w:sz="0" w:val="nil"/>
          <w:bottom w:space="0" w:sz="0" w:val="nil"/>
          <w:right w:space="0" w:sz="0" w:val="nil"/>
          <w:between w:space="0" w:sz="0" w:val="nil"/>
        </w:pBdr>
        <w:spacing w:after="0"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skutki wynikające z przedostawania się obcych ciał stałych, w tym pyłów, były zminimalizowane;</w:t>
      </w:r>
    </w:p>
    <w:p w:rsidR="00000000" w:rsidDel="00000000" w:rsidP="00000000" w:rsidRDefault="00000000" w:rsidRPr="00000000" w14:paraId="000000D7">
      <w:pPr>
        <w:numPr>
          <w:ilvl w:val="0"/>
          <w:numId w:val="9"/>
        </w:numPr>
        <w:pBdr>
          <w:top w:space="0" w:sz="0" w:val="nil"/>
          <w:left w:space="0" w:sz="0" w:val="nil"/>
          <w:bottom w:space="0" w:sz="0" w:val="nil"/>
          <w:right w:space="0" w:sz="0" w:val="nil"/>
          <w:between w:space="0" w:sz="0" w:val="nil"/>
        </w:pBdr>
        <w:spacing w:after="0"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części podatne na niszczące działanie substancji powodujących korozję i zanieczyszczenie były odpowiednio zabezpieczone;</w:t>
      </w:r>
    </w:p>
    <w:p w:rsidR="00000000" w:rsidDel="00000000" w:rsidP="00000000" w:rsidRDefault="00000000" w:rsidRPr="00000000" w14:paraId="000000D8">
      <w:pPr>
        <w:numPr>
          <w:ilvl w:val="0"/>
          <w:numId w:val="9"/>
        </w:numPr>
        <w:pBdr>
          <w:top w:space="0" w:sz="0" w:val="nil"/>
          <w:left w:space="0" w:sz="0" w:val="nil"/>
          <w:bottom w:space="0" w:sz="0" w:val="nil"/>
          <w:right w:space="0" w:sz="0" w:val="nil"/>
          <w:between w:space="0" w:sz="0" w:val="nil"/>
        </w:pBdr>
        <w:spacing w:after="0"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elementy wykonane z materiałów mogących powodować wzajemne niszczenie nie stykały się, o ile nie zastosowano odpowiednich środków zapobiegających skutkom takiego zetknięcia;</w:t>
      </w:r>
    </w:p>
    <w:p w:rsidR="00000000" w:rsidDel="00000000" w:rsidP="00000000" w:rsidRDefault="00000000" w:rsidRPr="00000000" w14:paraId="000000D9">
      <w:pPr>
        <w:numPr>
          <w:ilvl w:val="0"/>
          <w:numId w:val="9"/>
        </w:numPr>
        <w:pBdr>
          <w:top w:space="0" w:sz="0" w:val="nil"/>
          <w:left w:space="0" w:sz="0" w:val="nil"/>
          <w:bottom w:space="0" w:sz="0" w:val="nil"/>
          <w:right w:space="0" w:sz="0" w:val="nil"/>
          <w:between w:space="0" w:sz="0" w:val="nil"/>
        </w:pBdr>
        <w:spacing w:after="0"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wszelkie uszkodzenia powodowane przez narażenia mechaniczne były zminimalizowane;</w:t>
      </w:r>
    </w:p>
    <w:p w:rsidR="00000000" w:rsidDel="00000000" w:rsidP="00000000" w:rsidRDefault="00000000" w:rsidRPr="00000000" w14:paraId="000000DA">
      <w:pPr>
        <w:numPr>
          <w:ilvl w:val="0"/>
          <w:numId w:val="9"/>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zminimalizować ryzyko rozprzestrzeniania się ognia;</w:t>
      </w:r>
    </w:p>
    <w:p w:rsidR="00000000" w:rsidDel="00000000" w:rsidP="00000000" w:rsidRDefault="00000000" w:rsidRPr="00000000" w14:paraId="000000DB">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bookmarkStart w:colFirst="0" w:colLast="0" w:name="_heading=h.2xcytpi" w:id="24"/>
      <w:bookmarkEnd w:id="24"/>
      <w:r w:rsidDel="00000000" w:rsidR="00000000" w:rsidRPr="00000000">
        <w:rPr>
          <w:rtl w:val="0"/>
        </w:rPr>
      </w:r>
    </w:p>
    <w:p w:rsidR="00000000" w:rsidDel="00000000" w:rsidP="00000000" w:rsidRDefault="00000000" w:rsidRPr="00000000" w14:paraId="000000DC">
      <w:pPr>
        <w:keepNext w:val="1"/>
        <w:numPr>
          <w:ilvl w:val="1"/>
          <w:numId w:val="24"/>
        </w:numPr>
        <w:pBdr>
          <w:top w:space="0" w:sz="0" w:val="nil"/>
          <w:left w:space="0" w:sz="0" w:val="nil"/>
          <w:bottom w:space="0" w:sz="0" w:val="nil"/>
          <w:right w:space="0" w:sz="0" w:val="nil"/>
          <w:between w:space="0" w:sz="0" w:val="nil"/>
        </w:pBdr>
        <w:spacing w:line="240" w:lineRule="auto"/>
        <w:ind w:left="0" w:hanging="2"/>
        <w:jc w:val="left"/>
        <w:rPr>
          <w:rFonts w:ascii="Calibri" w:cs="Calibri" w:eastAsia="Calibri" w:hAnsi="Calibri"/>
          <w:b w:val="1"/>
          <w:bCs w:val="1"/>
          <w:color w:val="000000"/>
          <w:sz w:val="22"/>
          <w:szCs w:val="22"/>
        </w:rPr>
      </w:pPr>
      <w:r w:rsidDel="00000000" w:rsidR="00000000" w:rsidRPr="00000000">
        <w:rPr>
          <w:rFonts w:ascii="Calibri" w:cs="Calibri" w:eastAsia="Calibri" w:hAnsi="Calibri"/>
          <w:b w:val="1"/>
          <w:bCs w:val="1"/>
          <w:color w:val="000000"/>
          <w:sz w:val="22"/>
          <w:szCs w:val="22"/>
          <w:rtl w:val="0"/>
        </w:rPr>
        <w:t xml:space="preserve">Obowiązki Wykonawcy:</w:t>
      </w:r>
    </w:p>
    <w:p w:rsidR="00000000" w:rsidDel="00000000" w:rsidP="00000000" w:rsidRDefault="00000000" w:rsidRPr="00000000" w14:paraId="000000DD">
      <w:pPr>
        <w:numPr>
          <w:ilvl w:val="0"/>
          <w:numId w:val="10"/>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Wszystkie ewentualne odstępstwa od dokumentacji i specyfikacji muszą zostać uzgodnione przez projektanta i otrzymać zgodę Zamawiającego.</w:t>
      </w:r>
    </w:p>
    <w:p w:rsidR="00000000" w:rsidDel="00000000" w:rsidP="00000000" w:rsidRDefault="00000000" w:rsidRPr="00000000" w14:paraId="000000DE">
      <w:pPr>
        <w:numPr>
          <w:ilvl w:val="0"/>
          <w:numId w:val="10"/>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Wykonawca ma obowiązek wykonać roboty i uruchomić urządzenia oraz usunąć wszelkie usterki i defekty z należytą starannością i pilnością, zgodnie z postanowieniami umowy. Wykonawca ma obowiązek dostarczyć wszystkie materiały (poza materiałami wymienionymi w Załączniku nr 3 do umowy) urządzenia, sprzęt oraz zatrudnić kierownictwo i siłę roboczą niezbędne dla wykonania, uruchomienia i usunięcia usterek.</w:t>
      </w:r>
    </w:p>
    <w:p w:rsidR="00000000" w:rsidDel="00000000" w:rsidP="00000000" w:rsidRDefault="00000000" w:rsidRPr="00000000" w14:paraId="000000DF">
      <w:pPr>
        <w:numPr>
          <w:ilvl w:val="0"/>
          <w:numId w:val="10"/>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sz w:val="22"/>
          <w:szCs w:val="22"/>
          <w:rtl w:val="0"/>
        </w:rPr>
        <w:t xml:space="preserve">W</w:t>
      </w:r>
      <w:r w:rsidDel="00000000" w:rsidR="00000000" w:rsidRPr="00000000">
        <w:rPr>
          <w:rFonts w:ascii="Calibri" w:cs="Calibri" w:eastAsia="Calibri" w:hAnsi="Calibri"/>
          <w:color w:val="000000"/>
          <w:sz w:val="22"/>
          <w:szCs w:val="22"/>
          <w:rtl w:val="0"/>
        </w:rPr>
        <w:t xml:space="preserve">ykonawca bierze pełną odpowiedzialność za odpowiednie wykonanie, stabilność i bezpieczeństwo wszelkich czynności w trakcie realizacji oraz za metody i </w:t>
      </w:r>
      <w:r w:rsidDel="00000000" w:rsidR="00000000" w:rsidRPr="00000000">
        <w:rPr>
          <w:rFonts w:ascii="Calibri" w:cs="Calibri" w:eastAsia="Calibri" w:hAnsi="Calibri"/>
          <w:sz w:val="22"/>
          <w:szCs w:val="22"/>
          <w:rtl w:val="0"/>
        </w:rPr>
        <w:t xml:space="preserve">technologie</w:t>
      </w:r>
      <w:r w:rsidDel="00000000" w:rsidR="00000000" w:rsidRPr="00000000">
        <w:rPr>
          <w:rFonts w:ascii="Calibri" w:cs="Calibri" w:eastAsia="Calibri" w:hAnsi="Calibri"/>
          <w:color w:val="000000"/>
          <w:sz w:val="22"/>
          <w:szCs w:val="22"/>
          <w:rtl w:val="0"/>
        </w:rPr>
        <w:t xml:space="preserve"> użyte przy budowie.</w:t>
      </w:r>
    </w:p>
    <w:p w:rsidR="00000000" w:rsidDel="00000000" w:rsidP="00000000" w:rsidRDefault="00000000" w:rsidRPr="00000000" w14:paraId="000000E0">
      <w:pPr>
        <w:numPr>
          <w:ilvl w:val="0"/>
          <w:numId w:val="10"/>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Wykonawca winien wykonać wszelkie czynności niezbędne dla realizacji robót w taki sposób, aby w granicach wynikających z konieczności zobowiązań umownych nie zakłócać bardziej niż to jest konieczne porządku publicznego, dostępu, użytkowania  chodników i placów publicznych i prywatnych do i na terenach należących do osób trzecich. Wykonawca winien zabezpieczyć Zamawiającego przed wszelkimi roszczeniami, postępowaniami, odszkodowaniami i kosztami jakie mogą być następstwem nieprzestrzegania powyższego postanowienia.</w:t>
      </w:r>
    </w:p>
    <w:p w:rsidR="00000000" w:rsidDel="00000000" w:rsidP="00000000" w:rsidRDefault="00000000" w:rsidRPr="00000000" w14:paraId="000000E1">
      <w:pPr>
        <w:numPr>
          <w:ilvl w:val="0"/>
          <w:numId w:val="10"/>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Wykonawca winien zastosować wszelkie racjonalne środki w celu zabezpieczenia i wyeliminowania uszkodzeń dróg dojazdowych przez ruch związany z działalnością Wykonawcy i Podwykonawców transportujących materiały do realizacji sieci cieplnej, dobierając trasy i używając pojazdów tak, aby szczególny ruch związany z transportem materiałów, urządzeń i sprzętu Wykonawcy ograniczyć do minimum oraz aby nie spowodować uszkodzenia tych dróg. Wykonawca winien zabezpieczyć i powetować Zamawiającemu wszelkie roszczenia jakie mogą być skierowane w związku z tym bezpośrednio </w:t>
      </w:r>
      <w:r w:rsidDel="00000000" w:rsidR="00000000" w:rsidRPr="00000000">
        <w:rPr>
          <w:rFonts w:ascii="Calibri" w:cs="Calibri" w:eastAsia="Calibri" w:hAnsi="Calibri"/>
          <w:sz w:val="22"/>
          <w:szCs w:val="22"/>
          <w:rtl w:val="0"/>
        </w:rPr>
        <w:t xml:space="preserve">przeciwko</w:t>
      </w:r>
      <w:r w:rsidDel="00000000" w:rsidR="00000000" w:rsidRPr="00000000">
        <w:rPr>
          <w:rFonts w:ascii="Calibri" w:cs="Calibri" w:eastAsia="Calibri" w:hAnsi="Calibri"/>
          <w:color w:val="000000"/>
          <w:sz w:val="22"/>
          <w:szCs w:val="22"/>
          <w:rtl w:val="0"/>
        </w:rPr>
        <w:t xml:space="preserve"> Zamawiającemu, oraz podjąć negocjacje i zapłacić roszczenia jakie wynikną na skutek zaistniałych szkód.</w:t>
      </w:r>
    </w:p>
    <w:p w:rsidR="00000000" w:rsidDel="00000000" w:rsidP="00000000" w:rsidRDefault="00000000" w:rsidRPr="00000000" w14:paraId="000000E2">
      <w:pPr>
        <w:numPr>
          <w:ilvl w:val="0"/>
          <w:numId w:val="10"/>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Wykonawca jest gospodarzem na placu budowy i jako gospodarz odpowiada za przekazany teren do czasu komisyjnego odbioru i przekazania terenu właścicielowi. Odpowiedzialność powyższa dotyczy w szczególności obowiązków wynikających z przepisów BHP, przeciwpożarowych i porządkowych.</w:t>
      </w:r>
    </w:p>
    <w:p w:rsidR="00000000" w:rsidDel="00000000" w:rsidP="00000000" w:rsidRDefault="00000000" w:rsidRPr="00000000" w14:paraId="000000E3">
      <w:pPr>
        <w:numPr>
          <w:ilvl w:val="0"/>
          <w:numId w:val="10"/>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u w:val="single"/>
          <w:rtl w:val="0"/>
        </w:rPr>
        <w:t xml:space="preserve">Wykonawca zobowiązany jest sporządzić przed rozpoczęciem budowy plan bezpieczeństwa i ochrony zdrowia (BIOZ), uwzględniając specyfikę obiektu i warunki prowadzenia robót. Plan BIOZ powinien być opracowany zgodnie z &amp;3 Rozporządzenia Ministra Infrastruktury z dnia 23.06.2003 roku (Dz.U. 2003 Nr 120 poz. 1126)</w:t>
      </w:r>
      <w:r w:rsidDel="00000000" w:rsidR="00000000" w:rsidRPr="00000000">
        <w:rPr>
          <w:rtl w:val="0"/>
        </w:rPr>
      </w:r>
    </w:p>
    <w:p w:rsidR="00000000" w:rsidDel="00000000" w:rsidP="00000000" w:rsidRDefault="00000000" w:rsidRPr="00000000" w14:paraId="000000E4">
      <w:pPr>
        <w:numPr>
          <w:ilvl w:val="0"/>
          <w:numId w:val="10"/>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do obowiązków Wykonawcy należy prowadzenie dokumentacji budowy. </w:t>
      </w:r>
    </w:p>
    <w:p w:rsidR="00000000" w:rsidDel="00000000" w:rsidP="00000000" w:rsidRDefault="00000000" w:rsidRPr="00000000" w14:paraId="000000E5">
      <w:pPr>
        <w:numPr>
          <w:ilvl w:val="0"/>
          <w:numId w:val="10"/>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do obowiązków Wykonawcy należy zagospodarowanie mas będących nadmiarem lub pochodzącego z rozbiórki – utylizacja odpadów niebezpiecznych i nie niebezpiecznych winna być wykonana zgodnie do odpowiednich przepisów o gospodarce odpadami. Czynności powyższe Wykonawca winien zrealizować  własnym staraniem i na swój koszt. Wykonawca winien przedstawić Inwestorowi dokumenty potwierdzające zagospodarowanie odpadów przez firmy posiadające stosowne zezwolenia a w szczególności dokumenty ilości utylizowanych odpadów i oświadczenie podwykonawców o wykonaniu i utylizacji odpadów. </w:t>
      </w:r>
    </w:p>
    <w:p w:rsidR="00000000" w:rsidDel="00000000" w:rsidP="00000000" w:rsidRDefault="00000000" w:rsidRPr="00000000" w14:paraId="000000E6">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bookmarkStart w:colFirst="0" w:colLast="0" w:name="_heading=h.1ci93xb" w:id="25"/>
      <w:bookmarkEnd w:id="25"/>
      <w:r w:rsidDel="00000000" w:rsidR="00000000" w:rsidRPr="00000000">
        <w:rPr>
          <w:rtl w:val="0"/>
        </w:rPr>
      </w:r>
    </w:p>
    <w:p w:rsidR="00000000" w:rsidDel="00000000" w:rsidP="00000000" w:rsidRDefault="00000000" w:rsidRPr="00000000" w14:paraId="000000E7">
      <w:pPr>
        <w:keepNext w:val="1"/>
        <w:numPr>
          <w:ilvl w:val="1"/>
          <w:numId w:val="24"/>
        </w:numPr>
        <w:pBdr>
          <w:top w:space="0" w:sz="0" w:val="nil"/>
          <w:left w:space="0" w:sz="0" w:val="nil"/>
          <w:bottom w:space="0" w:sz="0" w:val="nil"/>
          <w:right w:space="0" w:sz="0" w:val="nil"/>
          <w:between w:space="0" w:sz="0" w:val="nil"/>
        </w:pBdr>
        <w:spacing w:line="240" w:lineRule="auto"/>
        <w:ind w:left="0" w:hanging="2"/>
        <w:jc w:val="left"/>
        <w:rPr>
          <w:rFonts w:ascii="Calibri" w:cs="Calibri" w:eastAsia="Calibri" w:hAnsi="Calibri"/>
          <w:b w:val="1"/>
          <w:bCs w:val="1"/>
          <w:color w:val="000000"/>
          <w:sz w:val="22"/>
          <w:szCs w:val="22"/>
        </w:rPr>
      </w:pPr>
      <w:r w:rsidDel="00000000" w:rsidR="00000000" w:rsidRPr="00000000">
        <w:rPr>
          <w:rFonts w:ascii="Calibri" w:cs="Calibri" w:eastAsia="Calibri" w:hAnsi="Calibri"/>
          <w:b w:val="1"/>
          <w:bCs w:val="1"/>
          <w:color w:val="000000"/>
          <w:sz w:val="22"/>
          <w:szCs w:val="22"/>
          <w:rtl w:val="0"/>
        </w:rPr>
        <w:t xml:space="preserve">Wykonanie robót</w:t>
      </w:r>
    </w:p>
    <w:p w:rsidR="00000000" w:rsidDel="00000000" w:rsidP="00000000" w:rsidRDefault="00000000" w:rsidRPr="00000000" w14:paraId="000000E8">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Wszystkie roboty związane z budową lub przebudową sieci ciepłowniczej muszą być wykonywane zgodnie z opracowaniami:</w:t>
      </w:r>
    </w:p>
    <w:p w:rsidR="00000000" w:rsidDel="00000000" w:rsidP="00000000" w:rsidRDefault="00000000" w:rsidRPr="00000000" w14:paraId="000000E9">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 „Eksploatacyjne wytyczne projektowania oraz wykonania rurociągów preizolowanych w osłonie PE-HD – Część II – Projektowanie i montaż” stanowiącymi załącznik nr 2 do ST, </w:t>
      </w:r>
    </w:p>
    <w:p w:rsidR="00000000" w:rsidDel="00000000" w:rsidP="00000000" w:rsidRDefault="00000000" w:rsidRPr="00000000" w14:paraId="000000EA">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 „Eksploatacyjne wytyczne projektowania oraz wykonania rurociągów preizolowanych w osłonie PE-HD – Część I - Wymagania techniczne” stanowiącymi załącznik nr 3 do ST, </w:t>
      </w:r>
    </w:p>
    <w:p w:rsidR="00000000" w:rsidDel="00000000" w:rsidP="00000000" w:rsidRDefault="00000000" w:rsidRPr="00000000" w14:paraId="000000EB">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bookmarkStart w:colFirst="0" w:colLast="0" w:name="_heading=h.3whwml4" w:id="26"/>
      <w:bookmarkEnd w:id="26"/>
      <w:r w:rsidDel="00000000" w:rsidR="00000000" w:rsidRPr="00000000">
        <w:rPr>
          <w:rtl w:val="0"/>
        </w:rPr>
      </w:r>
    </w:p>
    <w:p w:rsidR="00000000" w:rsidDel="00000000" w:rsidP="00000000" w:rsidRDefault="00000000" w:rsidRPr="00000000" w14:paraId="000000EC">
      <w:pPr>
        <w:keepNext w:val="1"/>
        <w:numPr>
          <w:ilvl w:val="2"/>
          <w:numId w:val="22"/>
        </w:numPr>
        <w:pBdr>
          <w:top w:space="0" w:sz="0" w:val="nil"/>
          <w:left w:space="0" w:sz="0" w:val="nil"/>
          <w:bottom w:space="0" w:sz="0" w:val="nil"/>
          <w:right w:space="0" w:sz="0" w:val="nil"/>
          <w:between w:space="0" w:sz="0" w:val="nil"/>
        </w:pBdr>
        <w:spacing w:line="240" w:lineRule="auto"/>
        <w:ind w:left="0" w:hanging="2"/>
        <w:jc w:val="left"/>
        <w:rPr>
          <w:rFonts w:ascii="Calibri" w:cs="Calibri" w:eastAsia="Calibri" w:hAnsi="Calibri"/>
          <w:b w:val="1"/>
          <w:bCs w:val="1"/>
          <w:color w:val="000000"/>
          <w:sz w:val="22"/>
          <w:szCs w:val="22"/>
        </w:rPr>
      </w:pPr>
      <w:r w:rsidDel="00000000" w:rsidR="00000000" w:rsidRPr="00000000">
        <w:rPr>
          <w:rFonts w:ascii="Calibri" w:cs="Calibri" w:eastAsia="Calibri" w:hAnsi="Calibri"/>
          <w:b w:val="1"/>
          <w:bCs w:val="1"/>
          <w:color w:val="000000"/>
          <w:sz w:val="22"/>
          <w:szCs w:val="22"/>
          <w:rtl w:val="0"/>
        </w:rPr>
        <w:t xml:space="preserve">Roboty przygotowawcze.</w:t>
      </w:r>
    </w:p>
    <w:p w:rsidR="00000000" w:rsidDel="00000000" w:rsidP="00000000" w:rsidRDefault="00000000" w:rsidRPr="00000000" w14:paraId="000000ED">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Roboty przygotowawcze należy wykonywać zgodnie z ST Tom II i Tom III.</w:t>
      </w:r>
    </w:p>
    <w:p w:rsidR="00000000" w:rsidDel="00000000" w:rsidP="00000000" w:rsidRDefault="00000000" w:rsidRPr="00000000" w14:paraId="000000EE">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bookmarkStart w:colFirst="0" w:colLast="0" w:name="_heading=h.2bn6wsx" w:id="27"/>
      <w:bookmarkEnd w:id="27"/>
      <w:r w:rsidDel="00000000" w:rsidR="00000000" w:rsidRPr="00000000">
        <w:rPr>
          <w:rtl w:val="0"/>
        </w:rPr>
      </w:r>
    </w:p>
    <w:p w:rsidR="00000000" w:rsidDel="00000000" w:rsidP="00000000" w:rsidRDefault="00000000" w:rsidRPr="00000000" w14:paraId="000000EF">
      <w:pPr>
        <w:keepNext w:val="1"/>
        <w:numPr>
          <w:ilvl w:val="2"/>
          <w:numId w:val="22"/>
        </w:numPr>
        <w:pBdr>
          <w:top w:space="0" w:sz="0" w:val="nil"/>
          <w:left w:space="0" w:sz="0" w:val="nil"/>
          <w:bottom w:space="0" w:sz="0" w:val="nil"/>
          <w:right w:space="0" w:sz="0" w:val="nil"/>
          <w:between w:space="0" w:sz="0" w:val="nil"/>
        </w:pBdr>
        <w:spacing w:line="240" w:lineRule="auto"/>
        <w:ind w:left="0" w:hanging="2"/>
        <w:jc w:val="left"/>
        <w:rPr>
          <w:rFonts w:ascii="Calibri" w:cs="Calibri" w:eastAsia="Calibri" w:hAnsi="Calibri"/>
          <w:b w:val="1"/>
          <w:bCs w:val="1"/>
          <w:color w:val="000000"/>
          <w:sz w:val="22"/>
          <w:szCs w:val="22"/>
        </w:rPr>
      </w:pPr>
      <w:r w:rsidDel="00000000" w:rsidR="00000000" w:rsidRPr="00000000">
        <w:rPr>
          <w:rFonts w:ascii="Calibri" w:cs="Calibri" w:eastAsia="Calibri" w:hAnsi="Calibri"/>
          <w:b w:val="1"/>
          <w:bCs w:val="1"/>
          <w:color w:val="000000"/>
          <w:sz w:val="22"/>
          <w:szCs w:val="22"/>
          <w:rtl w:val="0"/>
        </w:rPr>
        <w:t xml:space="preserve">Roboty ziemne.</w:t>
      </w:r>
    </w:p>
    <w:p w:rsidR="00000000" w:rsidDel="00000000" w:rsidP="00000000" w:rsidRDefault="00000000" w:rsidRPr="00000000" w14:paraId="000000F0">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Wykonanie robót ziemnych opisano w ST Tom III</w:t>
      </w:r>
    </w:p>
    <w:p w:rsidR="00000000" w:rsidDel="00000000" w:rsidP="00000000" w:rsidRDefault="00000000" w:rsidRPr="00000000" w14:paraId="000000F1">
      <w:pPr>
        <w:pBdr>
          <w:top w:space="0" w:sz="0" w:val="nil"/>
          <w:left w:space="0" w:sz="0" w:val="nil"/>
          <w:bottom w:space="0" w:sz="0" w:val="nil"/>
          <w:right w:space="0" w:sz="0" w:val="nil"/>
          <w:between w:space="0" w:sz="0" w:val="nil"/>
        </w:pBdr>
        <w:spacing w:after="0" w:line="240" w:lineRule="auto"/>
        <w:ind w:left="0" w:hanging="2"/>
        <w:rPr>
          <w:rFonts w:ascii="Calibri" w:cs="Calibri" w:eastAsia="Calibri" w:hAnsi="Calibri"/>
          <w:color w:val="000000"/>
          <w:sz w:val="22"/>
          <w:szCs w:val="22"/>
        </w:rPr>
      </w:pPr>
      <w:bookmarkStart w:colFirst="0" w:colLast="0" w:name="_heading=h.qsh70q" w:id="28"/>
      <w:bookmarkEnd w:id="28"/>
      <w:r w:rsidDel="00000000" w:rsidR="00000000" w:rsidRPr="00000000">
        <w:rPr>
          <w:rtl w:val="0"/>
        </w:rPr>
      </w:r>
    </w:p>
    <w:p w:rsidR="00000000" w:rsidDel="00000000" w:rsidP="00000000" w:rsidRDefault="00000000" w:rsidRPr="00000000" w14:paraId="000000F2">
      <w:pPr>
        <w:keepNext w:val="1"/>
        <w:numPr>
          <w:ilvl w:val="2"/>
          <w:numId w:val="22"/>
        </w:numPr>
        <w:pBdr>
          <w:top w:space="0" w:sz="0" w:val="nil"/>
          <w:left w:space="0" w:sz="0" w:val="nil"/>
          <w:bottom w:space="0" w:sz="0" w:val="nil"/>
          <w:right w:space="0" w:sz="0" w:val="nil"/>
          <w:between w:space="0" w:sz="0" w:val="nil"/>
        </w:pBdr>
        <w:spacing w:line="240" w:lineRule="auto"/>
        <w:ind w:left="0" w:hanging="2"/>
        <w:jc w:val="left"/>
        <w:rPr>
          <w:rFonts w:ascii="Calibri" w:cs="Calibri" w:eastAsia="Calibri" w:hAnsi="Calibri"/>
          <w:b w:val="1"/>
          <w:bCs w:val="1"/>
          <w:color w:val="000000"/>
          <w:sz w:val="22"/>
          <w:szCs w:val="22"/>
        </w:rPr>
      </w:pPr>
      <w:r w:rsidDel="00000000" w:rsidR="00000000" w:rsidRPr="00000000">
        <w:rPr>
          <w:rFonts w:ascii="Calibri" w:cs="Calibri" w:eastAsia="Calibri" w:hAnsi="Calibri"/>
          <w:b w:val="1"/>
          <w:bCs w:val="1"/>
          <w:color w:val="000000"/>
          <w:sz w:val="22"/>
          <w:szCs w:val="22"/>
          <w:rtl w:val="0"/>
        </w:rPr>
        <w:t xml:space="preserve">Podłoże</w:t>
      </w:r>
    </w:p>
    <w:p w:rsidR="00000000" w:rsidDel="00000000" w:rsidP="00000000" w:rsidRDefault="00000000" w:rsidRPr="00000000" w14:paraId="000000F3">
      <w:pPr>
        <w:pBdr>
          <w:top w:space="0" w:sz="0" w:val="nil"/>
          <w:left w:space="0" w:sz="0" w:val="nil"/>
          <w:bottom w:space="0" w:sz="0" w:val="nil"/>
          <w:right w:space="0" w:sz="0" w:val="nil"/>
          <w:between w:space="0" w:sz="0" w:val="nil"/>
        </w:pBdr>
        <w:spacing w:after="0"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Wymagania szczegółowe dla podłoża określono w opracowaniu ”Eksploatacyjne wytyczne projektowania oraz wykonania rurociągów preizolowanych w osłonie PE-HD – Część II – Projektowanie i montaż” stanowiącym załącznik nr 2 do specyfikacji technicznej.</w:t>
      </w:r>
    </w:p>
    <w:p w:rsidR="00000000" w:rsidDel="00000000" w:rsidP="00000000" w:rsidRDefault="00000000" w:rsidRPr="00000000" w14:paraId="000000F4">
      <w:pPr>
        <w:pBdr>
          <w:top w:space="0" w:sz="0" w:val="nil"/>
          <w:left w:space="0" w:sz="0" w:val="nil"/>
          <w:bottom w:space="0" w:sz="0" w:val="nil"/>
          <w:right w:space="0" w:sz="0" w:val="nil"/>
          <w:between w:space="0" w:sz="0" w:val="nil"/>
        </w:pBdr>
        <w:spacing w:after="0" w:line="240" w:lineRule="auto"/>
        <w:ind w:left="0" w:hanging="2"/>
        <w:rPr>
          <w:rFonts w:ascii="Calibri" w:cs="Calibri" w:eastAsia="Calibri" w:hAnsi="Calibri"/>
          <w:color w:val="000000"/>
          <w:sz w:val="22"/>
          <w:szCs w:val="22"/>
        </w:rPr>
      </w:pPr>
      <w:bookmarkStart w:colFirst="0" w:colLast="0" w:name="_heading=h.3as4poj" w:id="29"/>
      <w:bookmarkEnd w:id="29"/>
      <w:r w:rsidDel="00000000" w:rsidR="00000000" w:rsidRPr="00000000">
        <w:rPr>
          <w:rtl w:val="0"/>
        </w:rPr>
      </w:r>
    </w:p>
    <w:p w:rsidR="00000000" w:rsidDel="00000000" w:rsidP="00000000" w:rsidRDefault="00000000" w:rsidRPr="00000000" w14:paraId="000000F5">
      <w:pPr>
        <w:keepNext w:val="1"/>
        <w:numPr>
          <w:ilvl w:val="2"/>
          <w:numId w:val="22"/>
        </w:numPr>
        <w:pBdr>
          <w:top w:space="0" w:sz="0" w:val="nil"/>
          <w:left w:space="0" w:sz="0" w:val="nil"/>
          <w:bottom w:space="0" w:sz="0" w:val="nil"/>
          <w:right w:space="0" w:sz="0" w:val="nil"/>
          <w:between w:space="0" w:sz="0" w:val="nil"/>
        </w:pBdr>
        <w:spacing w:line="240" w:lineRule="auto"/>
        <w:ind w:left="0" w:hanging="2"/>
        <w:jc w:val="left"/>
        <w:rPr>
          <w:rFonts w:ascii="Calibri" w:cs="Calibri" w:eastAsia="Calibri" w:hAnsi="Calibri"/>
          <w:b w:val="1"/>
          <w:bCs w:val="1"/>
          <w:color w:val="000000"/>
          <w:sz w:val="22"/>
          <w:szCs w:val="22"/>
        </w:rPr>
      </w:pPr>
      <w:r w:rsidDel="00000000" w:rsidR="00000000" w:rsidRPr="00000000">
        <w:rPr>
          <w:rFonts w:ascii="Calibri" w:cs="Calibri" w:eastAsia="Calibri" w:hAnsi="Calibri"/>
          <w:b w:val="1"/>
          <w:bCs w:val="1"/>
          <w:color w:val="000000"/>
          <w:sz w:val="22"/>
          <w:szCs w:val="22"/>
          <w:rtl w:val="0"/>
        </w:rPr>
        <w:t xml:space="preserve">Wykop </w:t>
      </w:r>
    </w:p>
    <w:p w:rsidR="00000000" w:rsidDel="00000000" w:rsidP="00000000" w:rsidRDefault="00000000" w:rsidRPr="00000000" w14:paraId="000000F6">
      <w:pPr>
        <w:pBdr>
          <w:top w:space="0" w:sz="0" w:val="nil"/>
          <w:left w:space="0" w:sz="0" w:val="nil"/>
          <w:bottom w:space="0" w:sz="0" w:val="nil"/>
          <w:right w:space="0" w:sz="0" w:val="nil"/>
          <w:between w:space="0" w:sz="0" w:val="nil"/>
        </w:pBdr>
        <w:spacing w:after="0"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Wymagania szczegółowe dla podłoża określono w opracowaniu ”Eksploatacyjne wytyczne projektowania oraz wykonania rurociągów preizolowanych w osłonie PE-HD – Część II – Projektowanie i montaż” stanowiącym załącznik nr 2 do specyfikacji technicznej.</w:t>
      </w:r>
    </w:p>
    <w:p w:rsidR="00000000" w:rsidDel="00000000" w:rsidP="00000000" w:rsidRDefault="00000000" w:rsidRPr="00000000" w14:paraId="000000F7">
      <w:pPr>
        <w:pBdr>
          <w:top w:space="0" w:sz="0" w:val="nil"/>
          <w:left w:space="0" w:sz="0" w:val="nil"/>
          <w:bottom w:space="0" w:sz="0" w:val="nil"/>
          <w:right w:space="0" w:sz="0" w:val="nil"/>
          <w:between w:space="0" w:sz="0" w:val="nil"/>
        </w:pBdr>
        <w:spacing w:after="0" w:line="240" w:lineRule="auto"/>
        <w:ind w:left="0" w:hanging="2"/>
        <w:rPr>
          <w:rFonts w:ascii="Calibri" w:cs="Calibri" w:eastAsia="Calibri" w:hAnsi="Calibri"/>
          <w:color w:val="000000"/>
          <w:sz w:val="22"/>
          <w:szCs w:val="22"/>
        </w:rPr>
      </w:pPr>
      <w:bookmarkStart w:colFirst="0" w:colLast="0" w:name="_heading=h.1pxezwc" w:id="30"/>
      <w:bookmarkEnd w:id="30"/>
      <w:r w:rsidDel="00000000" w:rsidR="00000000" w:rsidRPr="00000000">
        <w:rPr>
          <w:rtl w:val="0"/>
        </w:rPr>
      </w:r>
    </w:p>
    <w:p w:rsidR="00000000" w:rsidDel="00000000" w:rsidP="00000000" w:rsidRDefault="00000000" w:rsidRPr="00000000" w14:paraId="000000F8">
      <w:pPr>
        <w:keepNext w:val="1"/>
        <w:numPr>
          <w:ilvl w:val="2"/>
          <w:numId w:val="22"/>
        </w:numPr>
        <w:pBdr>
          <w:top w:space="0" w:sz="0" w:val="nil"/>
          <w:left w:space="0" w:sz="0" w:val="nil"/>
          <w:bottom w:space="0" w:sz="0" w:val="nil"/>
          <w:right w:space="0" w:sz="0" w:val="nil"/>
          <w:between w:space="0" w:sz="0" w:val="nil"/>
        </w:pBdr>
        <w:spacing w:line="240" w:lineRule="auto"/>
        <w:ind w:left="0" w:hanging="2"/>
        <w:jc w:val="left"/>
        <w:rPr>
          <w:rFonts w:ascii="Calibri" w:cs="Calibri" w:eastAsia="Calibri" w:hAnsi="Calibri"/>
          <w:b w:val="1"/>
          <w:bCs w:val="1"/>
          <w:color w:val="000000"/>
          <w:sz w:val="22"/>
          <w:szCs w:val="22"/>
        </w:rPr>
      </w:pPr>
      <w:r w:rsidDel="00000000" w:rsidR="00000000" w:rsidRPr="00000000">
        <w:rPr>
          <w:rFonts w:ascii="Calibri" w:cs="Calibri" w:eastAsia="Calibri" w:hAnsi="Calibri"/>
          <w:b w:val="1"/>
          <w:bCs w:val="1"/>
          <w:color w:val="000000"/>
          <w:sz w:val="22"/>
          <w:szCs w:val="22"/>
          <w:rtl w:val="0"/>
        </w:rPr>
        <w:t xml:space="preserve">Wykonanie robót montażowych sieci cieplnej:</w:t>
      </w:r>
    </w:p>
    <w:p w:rsidR="00000000" w:rsidDel="00000000" w:rsidP="00000000" w:rsidRDefault="00000000" w:rsidRPr="00000000" w14:paraId="000000F9">
      <w:pPr>
        <w:numPr>
          <w:ilvl w:val="0"/>
          <w:numId w:val="11"/>
        </w:numPr>
        <w:pBdr>
          <w:top w:space="0" w:sz="0" w:val="nil"/>
          <w:left w:space="0" w:sz="0" w:val="nil"/>
          <w:bottom w:space="0" w:sz="0" w:val="nil"/>
          <w:right w:space="0" w:sz="0" w:val="nil"/>
          <w:between w:space="0" w:sz="0" w:val="nil"/>
        </w:pBdr>
        <w:tabs>
          <w:tab w:val="left" w:leader="none" w:pos="284"/>
        </w:tabs>
        <w:spacing w:after="0"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wymagania ogólne: sieć cieplna powinna zgodnie z art.5 ust. 1 ustawy Prawo Budowlane, zapewnić obiektowi budowlanemu, dla którego go wykonano, możliwość spełnienia wymagań podstawowych dotyczących w szczególności:</w:t>
      </w:r>
    </w:p>
    <w:p w:rsidR="00000000" w:rsidDel="00000000" w:rsidP="00000000" w:rsidRDefault="00000000" w:rsidRPr="00000000" w14:paraId="000000FA">
      <w:pPr>
        <w:numPr>
          <w:ilvl w:val="0"/>
          <w:numId w:val="1"/>
        </w:numPr>
        <w:pBdr>
          <w:top w:space="0" w:sz="0" w:val="nil"/>
          <w:left w:space="0" w:sz="0" w:val="nil"/>
          <w:bottom w:space="0" w:sz="0" w:val="nil"/>
          <w:right w:space="0" w:sz="0" w:val="nil"/>
          <w:between w:space="0" w:sz="0" w:val="nil"/>
        </w:pBdr>
        <w:spacing w:after="0"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bezpieczeństwa konstrukcji</w:t>
      </w:r>
    </w:p>
    <w:p w:rsidR="00000000" w:rsidDel="00000000" w:rsidP="00000000" w:rsidRDefault="00000000" w:rsidRPr="00000000" w14:paraId="000000FB">
      <w:pPr>
        <w:numPr>
          <w:ilvl w:val="0"/>
          <w:numId w:val="1"/>
        </w:numPr>
        <w:pBdr>
          <w:top w:space="0" w:sz="0" w:val="nil"/>
          <w:left w:space="0" w:sz="0" w:val="nil"/>
          <w:bottom w:space="0" w:sz="0" w:val="nil"/>
          <w:right w:space="0" w:sz="0" w:val="nil"/>
          <w:between w:space="0" w:sz="0" w:val="nil"/>
        </w:pBdr>
        <w:spacing w:after="0"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bezpieczeństwa pożarowego</w:t>
      </w:r>
    </w:p>
    <w:p w:rsidR="00000000" w:rsidDel="00000000" w:rsidP="00000000" w:rsidRDefault="00000000" w:rsidRPr="00000000" w14:paraId="000000FC">
      <w:pPr>
        <w:numPr>
          <w:ilvl w:val="0"/>
          <w:numId w:val="1"/>
        </w:numPr>
        <w:pBdr>
          <w:top w:space="0" w:sz="0" w:val="nil"/>
          <w:left w:space="0" w:sz="0" w:val="nil"/>
          <w:bottom w:space="0" w:sz="0" w:val="nil"/>
          <w:right w:space="0" w:sz="0" w:val="nil"/>
          <w:between w:space="0" w:sz="0" w:val="nil"/>
        </w:pBdr>
        <w:spacing w:after="0"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bezpieczeństwa użytkowania </w:t>
      </w:r>
    </w:p>
    <w:p w:rsidR="00000000" w:rsidDel="00000000" w:rsidP="00000000" w:rsidRDefault="00000000" w:rsidRPr="00000000" w14:paraId="000000FD">
      <w:pPr>
        <w:numPr>
          <w:ilvl w:val="0"/>
          <w:numId w:val="1"/>
        </w:numPr>
        <w:pBdr>
          <w:top w:space="0" w:sz="0" w:val="nil"/>
          <w:left w:space="0" w:sz="0" w:val="nil"/>
          <w:bottom w:space="0" w:sz="0" w:val="nil"/>
          <w:right w:space="0" w:sz="0" w:val="nil"/>
          <w:between w:space="0" w:sz="0" w:val="nil"/>
        </w:pBdr>
        <w:spacing w:after="0"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odpowiednich higienicznych, zdrowotnych, oraz ochrony środowiska </w:t>
      </w:r>
    </w:p>
    <w:p w:rsidR="00000000" w:rsidDel="00000000" w:rsidP="00000000" w:rsidRDefault="00000000" w:rsidRPr="00000000" w14:paraId="000000FE">
      <w:pPr>
        <w:numPr>
          <w:ilvl w:val="0"/>
          <w:numId w:val="1"/>
        </w:numPr>
        <w:pBdr>
          <w:top w:space="0" w:sz="0" w:val="nil"/>
          <w:left w:space="0" w:sz="0" w:val="nil"/>
          <w:bottom w:space="0" w:sz="0" w:val="nil"/>
          <w:right w:space="0" w:sz="0" w:val="nil"/>
          <w:between w:space="0" w:sz="0" w:val="nil"/>
        </w:pBdr>
        <w:spacing w:after="0"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ochrony przed hałasem i drganiami</w:t>
      </w:r>
    </w:p>
    <w:p w:rsidR="00000000" w:rsidDel="00000000" w:rsidP="00000000" w:rsidRDefault="00000000" w:rsidRPr="00000000" w14:paraId="000000FF">
      <w:pPr>
        <w:numPr>
          <w:ilvl w:val="0"/>
          <w:numId w:val="11"/>
        </w:numPr>
        <w:pBdr>
          <w:top w:space="0" w:sz="0" w:val="nil"/>
          <w:left w:space="0" w:sz="0" w:val="nil"/>
          <w:bottom w:space="0" w:sz="0" w:val="nil"/>
          <w:right w:space="0" w:sz="0" w:val="nil"/>
          <w:between w:space="0" w:sz="0" w:val="nil"/>
        </w:pBdr>
        <w:tabs>
          <w:tab w:val="left" w:leader="none" w:pos="284"/>
        </w:tabs>
        <w:spacing w:after="0"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roboty montażowe należy prowadzić zgodnie z wymaganiami normy PN-EN 13480-1:2005 lub równoważną. </w:t>
      </w:r>
    </w:p>
    <w:p w:rsidR="00000000" w:rsidDel="00000000" w:rsidP="00000000" w:rsidRDefault="00000000" w:rsidRPr="00000000" w14:paraId="00000100">
      <w:pPr>
        <w:numPr>
          <w:ilvl w:val="0"/>
          <w:numId w:val="11"/>
        </w:numPr>
        <w:pBdr>
          <w:top w:space="0" w:sz="0" w:val="nil"/>
          <w:left w:space="0" w:sz="0" w:val="nil"/>
          <w:bottom w:space="0" w:sz="0" w:val="nil"/>
          <w:right w:space="0" w:sz="0" w:val="nil"/>
          <w:between w:space="0" w:sz="0" w:val="nil"/>
        </w:pBdr>
        <w:tabs>
          <w:tab w:val="left" w:leader="none" w:pos="284"/>
        </w:tabs>
        <w:spacing w:after="0"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sieć cieplna powinna być wykonana w oparciu o uzgodnioną dokumentację projektową oraz zgodnie z aktualnie obowiązującymi normami, normatywami i wytycznymi eksploatacyjnymi Veolia Energia Warszawa S.A.</w:t>
      </w:r>
    </w:p>
    <w:p w:rsidR="00000000" w:rsidDel="00000000" w:rsidP="00000000" w:rsidRDefault="00000000" w:rsidRPr="00000000" w14:paraId="00000101">
      <w:pPr>
        <w:numPr>
          <w:ilvl w:val="0"/>
          <w:numId w:val="11"/>
        </w:numPr>
        <w:pBdr>
          <w:top w:space="0" w:sz="0" w:val="nil"/>
          <w:left w:space="0" w:sz="0" w:val="nil"/>
          <w:bottom w:space="0" w:sz="0" w:val="nil"/>
          <w:right w:space="0" w:sz="0" w:val="nil"/>
          <w:between w:space="0" w:sz="0" w:val="nil"/>
        </w:pBdr>
        <w:tabs>
          <w:tab w:val="left" w:leader="none" w:pos="284"/>
        </w:tabs>
        <w:spacing w:after="0" w:line="240" w:lineRule="auto"/>
        <w:ind w:left="0" w:hanging="2"/>
        <w:rPr>
          <w:rFonts w:ascii="Calibri" w:cs="Calibri" w:eastAsia="Calibri" w:hAnsi="Calibri"/>
          <w:color w:val="000000"/>
          <w:sz w:val="22"/>
          <w:szCs w:val="22"/>
        </w:rPr>
      </w:pPr>
      <w:r w:rsidDel="00000000" w:rsidR="00000000" w:rsidRPr="00000000">
        <w:rPr>
          <w:rFonts w:ascii="Arial" w:cs="Arial" w:eastAsia="Arial" w:hAnsi="Arial"/>
          <w:sz w:val="20"/>
          <w:szCs w:val="20"/>
          <w:rtl w:val="0"/>
        </w:rPr>
        <w:t xml:space="preserve">Wykonawca zobowiązuje do realizacji danego zadania przy wyłączonej sieci ciepłowniczej, na wyłączeniach nie dłuższych niż 8 godzin. Wyłączenia dłuższe niż 8 godzin możliwe są po uzgodnieniu z inspektorem nadzoru Zamawiającego.</w:t>
      </w:r>
      <w:r w:rsidDel="00000000" w:rsidR="00000000" w:rsidRPr="00000000">
        <w:rPr>
          <w:rtl w:val="0"/>
        </w:rPr>
      </w:r>
    </w:p>
    <w:p w:rsidR="00000000" w:rsidDel="00000000" w:rsidP="00000000" w:rsidRDefault="00000000" w:rsidRPr="00000000" w14:paraId="00000102">
      <w:pPr>
        <w:numPr>
          <w:ilvl w:val="0"/>
          <w:numId w:val="11"/>
        </w:numPr>
        <w:pBdr>
          <w:top w:space="0" w:sz="0" w:val="nil"/>
          <w:left w:space="0" w:sz="0" w:val="nil"/>
          <w:bottom w:space="0" w:sz="0" w:val="nil"/>
          <w:right w:space="0" w:sz="0" w:val="nil"/>
          <w:between w:space="0" w:sz="0" w:val="nil"/>
        </w:pBdr>
        <w:tabs>
          <w:tab w:val="left" w:leader="none" w:pos="284"/>
        </w:tabs>
        <w:spacing w:after="0" w:line="240" w:lineRule="auto"/>
        <w:ind w:left="0" w:hanging="2"/>
        <w:rPr>
          <w:rFonts w:ascii="Calibri" w:cs="Calibri" w:eastAsia="Calibri" w:hAnsi="Calibri"/>
          <w:color w:val="000000"/>
          <w:sz w:val="22"/>
          <w:szCs w:val="22"/>
        </w:rPr>
      </w:pPr>
      <w:r w:rsidDel="00000000" w:rsidR="00000000" w:rsidRPr="00000000">
        <w:rPr>
          <w:rFonts w:ascii="Arial" w:cs="Arial" w:eastAsia="Arial" w:hAnsi="Arial"/>
          <w:sz w:val="20"/>
          <w:szCs w:val="20"/>
          <w:rtl w:val="0"/>
        </w:rPr>
        <w:t xml:space="preserve">Wykonawca zobowiązany jest wystąpić ze zleceniem usługi na wyłączenie i na  17 dni wcześniej uzgodnić wyłączenia z Działem Ruchu.</w:t>
      </w:r>
      <w:r w:rsidDel="00000000" w:rsidR="00000000" w:rsidRPr="00000000">
        <w:rPr>
          <w:rtl w:val="0"/>
        </w:rPr>
      </w:r>
    </w:p>
    <w:p w:rsidR="00000000" w:rsidDel="00000000" w:rsidP="00000000" w:rsidRDefault="00000000" w:rsidRPr="00000000" w14:paraId="00000103">
      <w:pPr>
        <w:numPr>
          <w:ilvl w:val="0"/>
          <w:numId w:val="11"/>
        </w:numPr>
        <w:pBdr>
          <w:top w:space="0" w:sz="0" w:val="nil"/>
          <w:left w:space="0" w:sz="0" w:val="nil"/>
          <w:bottom w:space="0" w:sz="0" w:val="nil"/>
          <w:right w:space="0" w:sz="0" w:val="nil"/>
          <w:between w:space="0" w:sz="0" w:val="nil"/>
        </w:pBdr>
        <w:tabs>
          <w:tab w:val="left" w:leader="none" w:pos="284"/>
        </w:tabs>
        <w:spacing w:after="0" w:line="240" w:lineRule="auto"/>
        <w:ind w:left="0" w:hanging="2"/>
        <w:rPr/>
      </w:pPr>
      <w:r w:rsidDel="00000000" w:rsidR="00000000" w:rsidRPr="00000000">
        <w:rPr>
          <w:rFonts w:ascii="Arial" w:cs="Arial" w:eastAsia="Arial" w:hAnsi="Arial"/>
          <w:b w:val="1"/>
          <w:bCs w:val="1"/>
          <w:sz w:val="20"/>
          <w:szCs w:val="20"/>
          <w:rtl w:val="0"/>
        </w:rPr>
        <w:t xml:space="preserve">Wszelkie prace związane z przerwą w przesyle ciepła mogą być wykonywane wyłącznie w terminie od 1 maja do 30 września</w:t>
      </w:r>
      <w:r w:rsidDel="00000000" w:rsidR="00000000" w:rsidRPr="00000000">
        <w:rPr>
          <w:rtl w:val="0"/>
        </w:rPr>
      </w:r>
    </w:p>
    <w:p w:rsidR="00000000" w:rsidDel="00000000" w:rsidP="00000000" w:rsidRDefault="00000000" w:rsidRPr="00000000" w14:paraId="00000104">
      <w:pPr>
        <w:numPr>
          <w:ilvl w:val="0"/>
          <w:numId w:val="11"/>
        </w:numPr>
        <w:pBdr>
          <w:top w:space="0" w:sz="0" w:val="nil"/>
          <w:left w:space="0" w:sz="0" w:val="nil"/>
          <w:bottom w:space="0" w:sz="0" w:val="nil"/>
          <w:right w:space="0" w:sz="0" w:val="nil"/>
          <w:between w:space="0" w:sz="0" w:val="nil"/>
        </w:pBdr>
        <w:tabs>
          <w:tab w:val="left" w:leader="none" w:pos="284"/>
        </w:tabs>
        <w:spacing w:after="0"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montaż rurociągów preizolowanych realizować w oparciu o </w:t>
      </w:r>
      <w:r w:rsidDel="00000000" w:rsidR="00000000" w:rsidRPr="00000000">
        <w:rPr>
          <w:rFonts w:ascii="Calibri" w:cs="Calibri" w:eastAsia="Calibri" w:hAnsi="Calibri"/>
          <w:sz w:val="22"/>
          <w:szCs w:val="22"/>
          <w:rtl w:val="0"/>
        </w:rPr>
        <w:t xml:space="preserve">Instrukcję</w:t>
      </w:r>
      <w:r w:rsidDel="00000000" w:rsidR="00000000" w:rsidRPr="00000000">
        <w:rPr>
          <w:rFonts w:ascii="Calibri" w:cs="Calibri" w:eastAsia="Calibri" w:hAnsi="Calibri"/>
          <w:color w:val="000000"/>
          <w:sz w:val="22"/>
          <w:szCs w:val="22"/>
          <w:rtl w:val="0"/>
        </w:rPr>
        <w:t xml:space="preserve"> montażu producenta przyjętej technologii, zgodnie z opracowaniem „Eksploatacyjne wytyczne projektowania oraz wykonania rurociągów preizolowanych w osłonie PE-HD – Część I - Wymagania techniczne” stanowiącym załącznik nr 3 do ST oraz zgodnie z opracowaniem „Eksploatacyjne wytyczne projektowania oraz wykonania rurociągów preizolowanych w osłonie PE-HD – Część II – Projektowanie i montaż” stanowiącym załącznik nr 2 do ST.</w:t>
      </w:r>
    </w:p>
    <w:p w:rsidR="00000000" w:rsidDel="00000000" w:rsidP="00000000" w:rsidRDefault="00000000" w:rsidRPr="00000000" w14:paraId="00000105">
      <w:pPr>
        <w:numPr>
          <w:ilvl w:val="0"/>
          <w:numId w:val="11"/>
        </w:numPr>
        <w:pBdr>
          <w:top w:space="0" w:sz="0" w:val="nil"/>
          <w:left w:space="0" w:sz="0" w:val="nil"/>
          <w:bottom w:space="0" w:sz="0" w:val="nil"/>
          <w:right w:space="0" w:sz="0" w:val="nil"/>
          <w:between w:space="0" w:sz="0" w:val="nil"/>
        </w:pBdr>
        <w:tabs>
          <w:tab w:val="left" w:leader="none" w:pos="284"/>
        </w:tabs>
        <w:spacing w:after="0"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elementy sieci cieplnych powinny być zgodne z normami przedmiotowymi, katalogami i rysunkami powtarzalnymi aktualnie obowiązującymi w projektowaniu i wykonawstwie, mającymi akceptację Veolia Energia Warszawa S.A.</w:t>
      </w:r>
    </w:p>
    <w:p w:rsidR="00000000" w:rsidDel="00000000" w:rsidP="00000000" w:rsidRDefault="00000000" w:rsidRPr="00000000" w14:paraId="00000106">
      <w:pPr>
        <w:numPr>
          <w:ilvl w:val="0"/>
          <w:numId w:val="11"/>
        </w:numPr>
        <w:pBdr>
          <w:top w:space="0" w:sz="0" w:val="nil"/>
          <w:left w:space="0" w:sz="0" w:val="nil"/>
          <w:bottom w:space="0" w:sz="0" w:val="nil"/>
          <w:right w:space="0" w:sz="0" w:val="nil"/>
          <w:between w:space="0" w:sz="0" w:val="nil"/>
        </w:pBdr>
        <w:tabs>
          <w:tab w:val="left" w:leader="none" w:pos="284"/>
        </w:tabs>
        <w:spacing w:after="0"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technologia układania przewodów powinna zapewnić utrzymanie trasy i spadków zgodnie z Dokumentacją Projektową. Dla zapewnienia właściwego ułożenia przewodów ciepłowniczych, zgodnie z projektowaną osią, przez punkty osiowo trwale oznakowane na łatach celowniczych należy przeciągnąć drut lub sznurek, na którym zawieszony jest ciężarek pionu pomiędzy dwoma łatami celowniczymi. Spadek przewodu należy kontrolować za pomocą niwelatora w odniesieniu do reperów stałych znajdujących się poza wykopem oraz reperów pomocniczych. </w:t>
      </w:r>
    </w:p>
    <w:p w:rsidR="00000000" w:rsidDel="00000000" w:rsidP="00000000" w:rsidRDefault="00000000" w:rsidRPr="00000000" w14:paraId="00000107">
      <w:pPr>
        <w:numPr>
          <w:ilvl w:val="0"/>
          <w:numId w:val="11"/>
        </w:numPr>
        <w:pBdr>
          <w:top w:space="0" w:sz="0" w:val="nil"/>
          <w:left w:space="0" w:sz="0" w:val="nil"/>
          <w:bottom w:space="0" w:sz="0" w:val="nil"/>
          <w:right w:space="0" w:sz="0" w:val="nil"/>
          <w:between w:space="0" w:sz="0" w:val="nil"/>
        </w:pBdr>
        <w:tabs>
          <w:tab w:val="left" w:leader="none" w:pos="284"/>
        </w:tabs>
        <w:spacing w:after="0"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przed opuszczeniem rur należy sprawdzić, czy nie mają one widocznych uszkodzeń powstałych w czasie transportu i składowania. Ponadto rury należy starannie oczyścić w miejscach połączeń. Rury uszkodzone należy usunąć i zmagazynować poza strefą montażową.</w:t>
      </w:r>
    </w:p>
    <w:p w:rsidR="00000000" w:rsidDel="00000000" w:rsidP="00000000" w:rsidRDefault="00000000" w:rsidRPr="00000000" w14:paraId="00000108">
      <w:pPr>
        <w:numPr>
          <w:ilvl w:val="0"/>
          <w:numId w:val="11"/>
        </w:numPr>
        <w:pBdr>
          <w:top w:space="0" w:sz="0" w:val="nil"/>
          <w:left w:space="0" w:sz="0" w:val="nil"/>
          <w:bottom w:space="0" w:sz="0" w:val="nil"/>
          <w:right w:space="0" w:sz="0" w:val="nil"/>
          <w:between w:space="0" w:sz="0" w:val="nil"/>
        </w:pBdr>
        <w:tabs>
          <w:tab w:val="left" w:leader="none" w:pos="284"/>
        </w:tabs>
        <w:spacing w:after="0"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rury ciężkie, opuszczane mechanicznie, należy umieszczać we właściwym położeniu, gdy są podwieszone i dopiero wówczas zwolnić podwieszenie. Rury powinny być kolejno opuszczane za pomocą temblaków linowych lub parcianych. Nie dopuszcza się linek stalowych.              </w:t>
      </w:r>
    </w:p>
    <w:p w:rsidR="00000000" w:rsidDel="00000000" w:rsidP="00000000" w:rsidRDefault="00000000" w:rsidRPr="00000000" w14:paraId="00000109">
      <w:pPr>
        <w:numPr>
          <w:ilvl w:val="0"/>
          <w:numId w:val="11"/>
        </w:numPr>
        <w:pBdr>
          <w:top w:space="0" w:sz="0" w:val="nil"/>
          <w:left w:space="0" w:sz="0" w:val="nil"/>
          <w:bottom w:space="0" w:sz="0" w:val="nil"/>
          <w:right w:space="0" w:sz="0" w:val="nil"/>
          <w:between w:space="0" w:sz="0" w:val="nil"/>
        </w:pBdr>
        <w:tabs>
          <w:tab w:val="left" w:leader="none" w:pos="284"/>
        </w:tabs>
        <w:spacing w:after="0"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przy opuszczeniu i układaniu rur należy zwrócić szczególną uwagę na to, aby nie dopuścić do uszkodzenia płaszcza zewnętrznego rurociągu. Przed ułożeniem rur w wykopie należy wykonać zniwelowaną podsypkę piaskową ( stosowanie drewnianych podkładów nie jest dozwolone. Do tymczasowego wsparcia rurociągu można stosować miękkie podpory np. worki z piaskiem czy ze styrenu).</w:t>
      </w:r>
    </w:p>
    <w:p w:rsidR="00000000" w:rsidDel="00000000" w:rsidP="00000000" w:rsidRDefault="00000000" w:rsidRPr="00000000" w14:paraId="0000010A">
      <w:pPr>
        <w:pBdr>
          <w:top w:space="0" w:sz="0" w:val="nil"/>
          <w:left w:space="0" w:sz="0" w:val="nil"/>
          <w:bottom w:space="0" w:sz="0" w:val="nil"/>
          <w:right w:space="0" w:sz="0" w:val="nil"/>
          <w:between w:space="0" w:sz="0" w:val="nil"/>
        </w:pBdr>
        <w:tabs>
          <w:tab w:val="left" w:leader="none" w:pos="284"/>
        </w:tabs>
        <w:spacing w:after="0" w:line="240" w:lineRule="auto"/>
        <w:ind w:left="0" w:hanging="2"/>
        <w:rPr>
          <w:rFonts w:ascii="Calibri" w:cs="Calibri" w:eastAsia="Calibri" w:hAnsi="Calibri"/>
          <w:color w:val="000000"/>
          <w:sz w:val="22"/>
          <w:szCs w:val="22"/>
        </w:rPr>
      </w:pPr>
      <w:bookmarkStart w:colFirst="0" w:colLast="0" w:name="_heading=h.49x2ik5" w:id="31"/>
      <w:bookmarkEnd w:id="31"/>
      <w:r w:rsidDel="00000000" w:rsidR="00000000" w:rsidRPr="00000000">
        <w:rPr>
          <w:rtl w:val="0"/>
        </w:rPr>
      </w:r>
    </w:p>
    <w:p w:rsidR="00000000" w:rsidDel="00000000" w:rsidP="00000000" w:rsidRDefault="00000000" w:rsidRPr="00000000" w14:paraId="0000010B">
      <w:pPr>
        <w:keepNext w:val="1"/>
        <w:numPr>
          <w:ilvl w:val="2"/>
          <w:numId w:val="22"/>
        </w:numPr>
        <w:pBdr>
          <w:top w:space="0" w:sz="0" w:val="nil"/>
          <w:left w:space="0" w:sz="0" w:val="nil"/>
          <w:bottom w:space="0" w:sz="0" w:val="nil"/>
          <w:right w:space="0" w:sz="0" w:val="nil"/>
          <w:between w:space="0" w:sz="0" w:val="nil"/>
        </w:pBdr>
        <w:spacing w:line="240" w:lineRule="auto"/>
        <w:ind w:left="0" w:hanging="2"/>
        <w:jc w:val="left"/>
        <w:rPr>
          <w:rFonts w:ascii="Calibri" w:cs="Calibri" w:eastAsia="Calibri" w:hAnsi="Calibri"/>
          <w:b w:val="1"/>
          <w:bCs w:val="1"/>
          <w:color w:val="000000"/>
          <w:sz w:val="22"/>
          <w:szCs w:val="22"/>
        </w:rPr>
      </w:pPr>
      <w:r w:rsidDel="00000000" w:rsidR="00000000" w:rsidRPr="00000000">
        <w:rPr>
          <w:rFonts w:ascii="Calibri" w:cs="Calibri" w:eastAsia="Calibri" w:hAnsi="Calibri"/>
          <w:b w:val="1"/>
          <w:bCs w:val="1"/>
          <w:color w:val="000000"/>
          <w:sz w:val="22"/>
          <w:szCs w:val="22"/>
          <w:rtl w:val="0"/>
        </w:rPr>
        <w:t xml:space="preserve">Układanie rur</w:t>
      </w:r>
    </w:p>
    <w:p w:rsidR="00000000" w:rsidDel="00000000" w:rsidP="00000000" w:rsidRDefault="00000000" w:rsidRPr="00000000" w14:paraId="0000010C">
      <w:pPr>
        <w:pBdr>
          <w:top w:space="0" w:sz="0" w:val="nil"/>
          <w:left w:space="0" w:sz="0" w:val="nil"/>
          <w:bottom w:space="0" w:sz="0" w:val="nil"/>
          <w:right w:space="0" w:sz="0" w:val="nil"/>
          <w:between w:space="0" w:sz="0" w:val="nil"/>
        </w:pBdr>
        <w:spacing w:after="0"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Wymagania szczegółowe dla układania rur określono w opracowaniu „Eksploatacyjne wytyczne projektowania oraz wykonania rurociągów preizolowanych w osłonie PE-HD – Część II – Projektowanie i montaż” stanowiącym załącznik nr 2 do specyfikacji technicznej.</w:t>
      </w:r>
    </w:p>
    <w:p w:rsidR="00000000" w:rsidDel="00000000" w:rsidP="00000000" w:rsidRDefault="00000000" w:rsidRPr="00000000" w14:paraId="0000010D">
      <w:pPr>
        <w:pBdr>
          <w:top w:space="0" w:sz="0" w:val="nil"/>
          <w:left w:space="0" w:sz="0" w:val="nil"/>
          <w:bottom w:space="0" w:sz="0" w:val="nil"/>
          <w:right w:space="0" w:sz="0" w:val="nil"/>
          <w:between w:space="0" w:sz="0" w:val="nil"/>
        </w:pBdr>
        <w:spacing w:after="0" w:line="240" w:lineRule="auto"/>
        <w:ind w:left="0" w:hanging="2"/>
        <w:rPr>
          <w:rFonts w:ascii="Calibri" w:cs="Calibri" w:eastAsia="Calibri" w:hAnsi="Calibri"/>
          <w:color w:val="000000"/>
          <w:sz w:val="22"/>
          <w:szCs w:val="22"/>
        </w:rPr>
      </w:pPr>
      <w:bookmarkStart w:colFirst="0" w:colLast="0" w:name="_heading=h.2p2csry" w:id="32"/>
      <w:bookmarkEnd w:id="32"/>
      <w:r w:rsidDel="00000000" w:rsidR="00000000" w:rsidRPr="00000000">
        <w:rPr>
          <w:rtl w:val="0"/>
        </w:rPr>
      </w:r>
    </w:p>
    <w:p w:rsidR="00000000" w:rsidDel="00000000" w:rsidP="00000000" w:rsidRDefault="00000000" w:rsidRPr="00000000" w14:paraId="0000010E">
      <w:pPr>
        <w:keepNext w:val="1"/>
        <w:numPr>
          <w:ilvl w:val="2"/>
          <w:numId w:val="22"/>
        </w:numPr>
        <w:pBdr>
          <w:top w:space="0" w:sz="0" w:val="nil"/>
          <w:left w:space="0" w:sz="0" w:val="nil"/>
          <w:bottom w:space="0" w:sz="0" w:val="nil"/>
          <w:right w:space="0" w:sz="0" w:val="nil"/>
          <w:between w:space="0" w:sz="0" w:val="nil"/>
        </w:pBdr>
        <w:spacing w:line="240" w:lineRule="auto"/>
        <w:ind w:left="0" w:hanging="2"/>
        <w:jc w:val="left"/>
        <w:rPr>
          <w:rFonts w:ascii="Calibri" w:cs="Calibri" w:eastAsia="Calibri" w:hAnsi="Calibri"/>
          <w:b w:val="1"/>
          <w:bCs w:val="1"/>
          <w:color w:val="000000"/>
          <w:sz w:val="22"/>
          <w:szCs w:val="22"/>
        </w:rPr>
      </w:pPr>
      <w:r w:rsidDel="00000000" w:rsidR="00000000" w:rsidRPr="00000000">
        <w:rPr>
          <w:rFonts w:ascii="Calibri" w:cs="Calibri" w:eastAsia="Calibri" w:hAnsi="Calibri"/>
          <w:b w:val="1"/>
          <w:bCs w:val="1"/>
          <w:color w:val="000000"/>
          <w:sz w:val="22"/>
          <w:szCs w:val="22"/>
          <w:rtl w:val="0"/>
        </w:rPr>
        <w:t xml:space="preserve">Spawanie rur</w:t>
      </w:r>
    </w:p>
    <w:p w:rsidR="00000000" w:rsidDel="00000000" w:rsidP="00000000" w:rsidRDefault="00000000" w:rsidRPr="00000000" w14:paraId="0000010F">
      <w:pPr>
        <w:pBdr>
          <w:top w:space="0" w:sz="0" w:val="nil"/>
          <w:left w:space="0" w:sz="0" w:val="nil"/>
          <w:bottom w:space="0" w:sz="0" w:val="nil"/>
          <w:right w:space="0" w:sz="0" w:val="nil"/>
          <w:between w:space="0" w:sz="0" w:val="nil"/>
        </w:pBdr>
        <w:spacing w:after="0" w:line="276"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Wymagania szczegółowe dla spawania rur stalowych określono w opracowaniu „Eksploatacyjne wytyczne projektowania oraz wykonania rurociągów preizolowanych w osłonie PE-HD – Część II – Projektowanie i montaż” stanowiącym załącznik nr 2 do specyfikacji technicznej.</w:t>
      </w:r>
    </w:p>
    <w:p w:rsidR="00000000" w:rsidDel="00000000" w:rsidP="00000000" w:rsidRDefault="00000000" w:rsidRPr="00000000" w14:paraId="00000110">
      <w:pPr>
        <w:pBdr>
          <w:top w:space="0" w:sz="0" w:val="nil"/>
          <w:left w:space="0" w:sz="0" w:val="nil"/>
          <w:bottom w:space="0" w:sz="0" w:val="nil"/>
          <w:right w:space="0" w:sz="0" w:val="nil"/>
          <w:between w:space="0" w:sz="0" w:val="nil"/>
        </w:pBdr>
        <w:tabs>
          <w:tab w:val="left" w:leader="none" w:pos="1418"/>
        </w:tabs>
        <w:spacing w:after="0" w:line="276"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Wymagania szczegółowe dla badania połączeń spawanych określono w opracowaniu „Eksploatacyjne wytyczne projektowania oraz wykonania rurociągów preizolowanych w osłonie PE-HD – Część II – Projektowanie i montaż” stanowiącym załącznik nr 2 do specyfikacji technicznej.</w:t>
      </w:r>
    </w:p>
    <w:p w:rsidR="00000000" w:rsidDel="00000000" w:rsidP="00000000" w:rsidRDefault="00000000" w:rsidRPr="00000000" w14:paraId="00000111">
      <w:pPr>
        <w:pBdr>
          <w:top w:space="0" w:sz="0" w:val="nil"/>
          <w:left w:space="0" w:sz="0" w:val="nil"/>
          <w:bottom w:space="0" w:sz="0" w:val="nil"/>
          <w:right w:space="0" w:sz="0" w:val="nil"/>
          <w:between w:space="0" w:sz="0" w:val="nil"/>
        </w:pBdr>
        <w:spacing w:after="0" w:line="276"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Roboty spawalnicze na rurociągach sieci cieplnej wodnych muszą być wykonywane wyłącznie przez spawaczy posiadających odpowiednie uprawnienia.</w:t>
      </w:r>
    </w:p>
    <w:p w:rsidR="00000000" w:rsidDel="00000000" w:rsidP="00000000" w:rsidRDefault="00000000" w:rsidRPr="00000000" w14:paraId="00000112">
      <w:pPr>
        <w:pBdr>
          <w:top w:space="0" w:sz="0" w:val="nil"/>
          <w:left w:space="0" w:sz="0" w:val="nil"/>
          <w:bottom w:space="0" w:sz="0" w:val="nil"/>
          <w:right w:space="0" w:sz="0" w:val="nil"/>
          <w:between w:space="0" w:sz="0" w:val="nil"/>
        </w:pBdr>
        <w:spacing w:after="0" w:line="276"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Obowiązkowe jest badanie i sprawdzanie kontrolne </w:t>
      </w:r>
      <w:r w:rsidDel="00000000" w:rsidR="00000000" w:rsidRPr="00000000">
        <w:rPr>
          <w:rFonts w:ascii="Calibri" w:cs="Calibri" w:eastAsia="Calibri" w:hAnsi="Calibri"/>
          <w:color w:val="000000"/>
          <w:sz w:val="22"/>
          <w:szCs w:val="22"/>
          <w:u w:val="single"/>
          <w:rtl w:val="0"/>
        </w:rPr>
        <w:t xml:space="preserve">wszystkich</w:t>
      </w:r>
      <w:r w:rsidDel="00000000" w:rsidR="00000000" w:rsidRPr="00000000">
        <w:rPr>
          <w:rFonts w:ascii="Calibri" w:cs="Calibri" w:eastAsia="Calibri" w:hAnsi="Calibri"/>
          <w:color w:val="000000"/>
          <w:sz w:val="22"/>
          <w:szCs w:val="22"/>
          <w:rtl w:val="0"/>
        </w:rPr>
        <w:t xml:space="preserve"> doczołowych połączeń spawanych na odcinkach sieci cieplnej preizolowanej. </w:t>
      </w:r>
    </w:p>
    <w:p w:rsidR="00000000" w:rsidDel="00000000" w:rsidP="00000000" w:rsidRDefault="00000000" w:rsidRPr="00000000" w14:paraId="00000113">
      <w:pPr>
        <w:pBdr>
          <w:top w:space="0" w:sz="0" w:val="nil"/>
          <w:left w:space="0" w:sz="0" w:val="nil"/>
          <w:bottom w:space="0" w:sz="0" w:val="nil"/>
          <w:right w:space="0" w:sz="0" w:val="nil"/>
          <w:between w:space="0" w:sz="0" w:val="nil"/>
        </w:pBdr>
        <w:spacing w:after="0" w:line="276"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     </w:t>
        <w:tab/>
        <w:t xml:space="preserve">Na pozostałych odcinkach sieci cieplnej np. komory, w pomieszczeniach węzłów cieplnych itp. kontrolą objęte </w:t>
      </w:r>
      <w:r w:rsidDel="00000000" w:rsidR="00000000" w:rsidRPr="00000000">
        <w:rPr>
          <w:rFonts w:ascii="Calibri" w:cs="Calibri" w:eastAsia="Calibri" w:hAnsi="Calibri"/>
          <w:sz w:val="22"/>
          <w:szCs w:val="22"/>
          <w:rtl w:val="0"/>
        </w:rPr>
        <w:t xml:space="preserve">zostaną</w:t>
      </w:r>
      <w:r w:rsidDel="00000000" w:rsidR="00000000" w:rsidRPr="00000000">
        <w:rPr>
          <w:rFonts w:ascii="Calibri" w:cs="Calibri" w:eastAsia="Calibri" w:hAnsi="Calibri"/>
          <w:color w:val="000000"/>
          <w:sz w:val="22"/>
          <w:szCs w:val="22"/>
          <w:rtl w:val="0"/>
        </w:rPr>
        <w:t xml:space="preserve"> wszystkie spawy dla rurociągów od DN 80 mm.</w:t>
      </w:r>
    </w:p>
    <w:p w:rsidR="00000000" w:rsidDel="00000000" w:rsidP="00000000" w:rsidRDefault="00000000" w:rsidRPr="00000000" w14:paraId="00000114">
      <w:pPr>
        <w:pBdr>
          <w:top w:space="0" w:sz="0" w:val="nil"/>
          <w:left w:space="0" w:sz="0" w:val="nil"/>
          <w:bottom w:space="0" w:sz="0" w:val="nil"/>
          <w:right w:space="0" w:sz="0" w:val="nil"/>
          <w:between w:space="0" w:sz="0" w:val="nil"/>
        </w:pBdr>
        <w:spacing w:after="0" w:line="276"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Obowiązkowa metoda badań – ultradźwiękową z udokumentowanym wynikiem badania (zapis na płycie CD-ROM lub w postaci graficznej). Wyniki przeprowadzonych badań należy udokumentować zgodnie z normą PN EN ISO 17640.</w:t>
      </w:r>
    </w:p>
    <w:p w:rsidR="00000000" w:rsidDel="00000000" w:rsidP="00000000" w:rsidRDefault="00000000" w:rsidRPr="00000000" w14:paraId="00000115">
      <w:pPr>
        <w:pBdr>
          <w:top w:space="0" w:sz="0" w:val="nil"/>
          <w:left w:space="0" w:sz="0" w:val="nil"/>
          <w:bottom w:space="0" w:sz="0" w:val="nil"/>
          <w:right w:space="0" w:sz="0" w:val="nil"/>
          <w:between w:space="0" w:sz="0" w:val="nil"/>
        </w:pBdr>
        <w:spacing w:after="0" w:line="276"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Przy przejściach poprzecznych przez ulice (lub wzdłuż ulic) przy przejściach nad lub pod torami, na kładkach itd. </w:t>
      </w:r>
      <w:r w:rsidDel="00000000" w:rsidR="00000000" w:rsidRPr="00000000">
        <w:rPr>
          <w:rFonts w:ascii="Calibri" w:cs="Calibri" w:eastAsia="Calibri" w:hAnsi="Calibri"/>
          <w:color w:val="000000"/>
          <w:sz w:val="22"/>
          <w:szCs w:val="22"/>
          <w:u w:val="single"/>
          <w:rtl w:val="0"/>
        </w:rPr>
        <w:t xml:space="preserve">100% złącz spawanych musi być objęte badaniami.</w:t>
      </w:r>
      <w:r w:rsidDel="00000000" w:rsidR="00000000" w:rsidRPr="00000000">
        <w:rPr>
          <w:rtl w:val="0"/>
        </w:rPr>
      </w:r>
    </w:p>
    <w:p w:rsidR="00000000" w:rsidDel="00000000" w:rsidP="00000000" w:rsidRDefault="00000000" w:rsidRPr="00000000" w14:paraId="00000116">
      <w:pPr>
        <w:pBdr>
          <w:top w:space="0" w:sz="0" w:val="nil"/>
          <w:left w:space="0" w:sz="0" w:val="nil"/>
          <w:bottom w:space="0" w:sz="0" w:val="nil"/>
          <w:right w:space="0" w:sz="0" w:val="nil"/>
          <w:between w:space="0" w:sz="0" w:val="nil"/>
        </w:pBdr>
        <w:spacing w:after="0" w:line="276"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Wyniki badań wraz z innymi dokumentami należy dołączyć do dokumentacji budowy i wraz z innymi dokumentami, przekazać inspektorowi nadzoru .</w:t>
      </w:r>
    </w:p>
    <w:p w:rsidR="00000000" w:rsidDel="00000000" w:rsidP="00000000" w:rsidRDefault="00000000" w:rsidRPr="00000000" w14:paraId="00000117">
      <w:pPr>
        <w:pBdr>
          <w:top w:space="0" w:sz="0" w:val="nil"/>
          <w:left w:space="0" w:sz="0" w:val="nil"/>
          <w:bottom w:space="0" w:sz="0" w:val="nil"/>
          <w:right w:space="0" w:sz="0" w:val="nil"/>
          <w:between w:space="0" w:sz="0" w:val="nil"/>
        </w:pBdr>
        <w:spacing w:after="0" w:line="276"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W przypadku, gdy w uzgodnieniu ze Veolia Energia Warszawa S.A. odstępuje się od próby ciśnieniowej, badaniem ultradźwiękowym objęte zostają wszystkie złącza spawane/ w co najmniej w II klasie badania/.</w:t>
      </w:r>
    </w:p>
    <w:p w:rsidR="00000000" w:rsidDel="00000000" w:rsidP="00000000" w:rsidRDefault="00000000" w:rsidRPr="00000000" w14:paraId="00000118">
      <w:pPr>
        <w:pBdr>
          <w:top w:space="0" w:sz="0" w:val="nil"/>
          <w:left w:space="0" w:sz="0" w:val="nil"/>
          <w:bottom w:space="0" w:sz="0" w:val="nil"/>
          <w:right w:space="0" w:sz="0" w:val="nil"/>
          <w:between w:space="0" w:sz="0" w:val="nil"/>
        </w:pBdr>
        <w:spacing w:after="0" w:line="276" w:lineRule="auto"/>
        <w:ind w:left="0" w:hanging="2"/>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119">
      <w:pPr>
        <w:pBdr>
          <w:top w:space="0" w:sz="0" w:val="nil"/>
          <w:left w:space="0" w:sz="0" w:val="nil"/>
          <w:bottom w:space="0" w:sz="0" w:val="nil"/>
          <w:right w:space="0" w:sz="0" w:val="nil"/>
          <w:between w:space="0" w:sz="0" w:val="nil"/>
        </w:pBdr>
        <w:spacing w:after="0" w:line="276"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Próba ciśnieniowa rurociągu ciepłowniczego nie jest wymagana, należy ją przeprowadzić w uzasadnionych przypadkach zgodnie z decyzją inspektora nadzoru. </w:t>
      </w:r>
    </w:p>
    <w:p w:rsidR="00000000" w:rsidDel="00000000" w:rsidP="00000000" w:rsidRDefault="00000000" w:rsidRPr="00000000" w14:paraId="0000011A">
      <w:pPr>
        <w:pBdr>
          <w:top w:space="0" w:sz="0" w:val="nil"/>
          <w:left w:space="0" w:sz="0" w:val="nil"/>
          <w:bottom w:space="0" w:sz="0" w:val="nil"/>
          <w:right w:space="0" w:sz="0" w:val="nil"/>
          <w:between w:space="0" w:sz="0" w:val="nil"/>
        </w:pBdr>
        <w:spacing w:after="0" w:line="240" w:lineRule="auto"/>
        <w:ind w:left="0" w:hanging="2"/>
        <w:rPr>
          <w:rFonts w:ascii="Calibri" w:cs="Calibri" w:eastAsia="Calibri" w:hAnsi="Calibri"/>
          <w:color w:val="000000"/>
          <w:sz w:val="22"/>
          <w:szCs w:val="22"/>
        </w:rPr>
      </w:pPr>
      <w:bookmarkStart w:colFirst="0" w:colLast="0" w:name="_heading=h.147n2zr" w:id="33"/>
      <w:bookmarkEnd w:id="33"/>
      <w:r w:rsidDel="00000000" w:rsidR="00000000" w:rsidRPr="00000000">
        <w:rPr>
          <w:rtl w:val="0"/>
        </w:rPr>
      </w:r>
    </w:p>
    <w:p w:rsidR="00000000" w:rsidDel="00000000" w:rsidP="00000000" w:rsidRDefault="00000000" w:rsidRPr="00000000" w14:paraId="0000011B">
      <w:pPr>
        <w:keepNext w:val="1"/>
        <w:numPr>
          <w:ilvl w:val="2"/>
          <w:numId w:val="22"/>
        </w:numPr>
        <w:pBdr>
          <w:top w:space="0" w:sz="0" w:val="nil"/>
          <w:left w:space="0" w:sz="0" w:val="nil"/>
          <w:bottom w:space="0" w:sz="0" w:val="nil"/>
          <w:right w:space="0" w:sz="0" w:val="nil"/>
          <w:between w:space="0" w:sz="0" w:val="nil"/>
        </w:pBdr>
        <w:spacing w:line="240" w:lineRule="auto"/>
        <w:ind w:left="0" w:hanging="2"/>
        <w:jc w:val="left"/>
        <w:rPr>
          <w:rFonts w:ascii="Calibri" w:cs="Calibri" w:eastAsia="Calibri" w:hAnsi="Calibri"/>
          <w:b w:val="1"/>
          <w:bCs w:val="1"/>
          <w:color w:val="000000"/>
          <w:sz w:val="22"/>
          <w:szCs w:val="22"/>
        </w:rPr>
      </w:pPr>
      <w:r w:rsidDel="00000000" w:rsidR="00000000" w:rsidRPr="00000000">
        <w:rPr>
          <w:rFonts w:ascii="Calibri" w:cs="Calibri" w:eastAsia="Calibri" w:hAnsi="Calibri"/>
          <w:b w:val="1"/>
          <w:bCs w:val="1"/>
          <w:color w:val="000000"/>
          <w:sz w:val="22"/>
          <w:szCs w:val="22"/>
          <w:rtl w:val="0"/>
        </w:rPr>
        <w:t xml:space="preserve">Płukanie i czyszczenie rurociągów</w:t>
      </w:r>
    </w:p>
    <w:p w:rsidR="00000000" w:rsidDel="00000000" w:rsidP="00000000" w:rsidRDefault="00000000" w:rsidRPr="00000000" w14:paraId="0000011C">
      <w:pPr>
        <w:pBdr>
          <w:top w:space="0" w:sz="0" w:val="nil"/>
          <w:left w:space="0" w:sz="0" w:val="nil"/>
          <w:bottom w:space="0" w:sz="0" w:val="nil"/>
          <w:right w:space="0" w:sz="0" w:val="nil"/>
          <w:between w:space="0" w:sz="0" w:val="nil"/>
        </w:pBdr>
        <w:spacing w:after="0"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Wymagania szczegółowe dla badania połączeń spawanych określono w opracowaniu „Eksploatacyjne wytyczne projektowania oraz wykonania rurociągów preizolowanych w osłonie PE-HD – Część II – Projektowanie i montaż” stanowiącym załącznik nr 2 do specyfikacji technicznej.</w:t>
      </w:r>
    </w:p>
    <w:p w:rsidR="00000000" w:rsidDel="00000000" w:rsidP="00000000" w:rsidRDefault="00000000" w:rsidRPr="00000000" w14:paraId="0000011D">
      <w:pPr>
        <w:pBdr>
          <w:top w:space="0" w:sz="0" w:val="nil"/>
          <w:left w:space="0" w:sz="0" w:val="nil"/>
          <w:bottom w:space="0" w:sz="0" w:val="nil"/>
          <w:right w:space="0" w:sz="0" w:val="nil"/>
          <w:between w:space="0" w:sz="0" w:val="nil"/>
        </w:pBdr>
        <w:tabs>
          <w:tab w:val="left" w:leader="none" w:pos="1418"/>
        </w:tabs>
        <w:spacing w:after="0" w:line="240" w:lineRule="auto"/>
        <w:ind w:left="0" w:hanging="2"/>
        <w:rPr>
          <w:rFonts w:ascii="Calibri" w:cs="Calibri" w:eastAsia="Calibri" w:hAnsi="Calibri"/>
          <w:color w:val="000000"/>
          <w:sz w:val="22"/>
          <w:szCs w:val="22"/>
        </w:rPr>
      </w:pPr>
      <w:bookmarkStart w:colFirst="0" w:colLast="0" w:name="_heading=h.3o7alnk" w:id="34"/>
      <w:bookmarkEnd w:id="34"/>
      <w:r w:rsidDel="00000000" w:rsidR="00000000" w:rsidRPr="00000000">
        <w:rPr>
          <w:rtl w:val="0"/>
        </w:rPr>
      </w:r>
    </w:p>
    <w:p w:rsidR="00000000" w:rsidDel="00000000" w:rsidP="00000000" w:rsidRDefault="00000000" w:rsidRPr="00000000" w14:paraId="0000011E">
      <w:pPr>
        <w:keepNext w:val="1"/>
        <w:numPr>
          <w:ilvl w:val="2"/>
          <w:numId w:val="22"/>
        </w:numPr>
        <w:pBdr>
          <w:top w:space="0" w:sz="0" w:val="nil"/>
          <w:left w:space="0" w:sz="0" w:val="nil"/>
          <w:bottom w:space="0" w:sz="0" w:val="nil"/>
          <w:right w:space="0" w:sz="0" w:val="nil"/>
          <w:between w:space="0" w:sz="0" w:val="nil"/>
        </w:pBdr>
        <w:spacing w:line="240" w:lineRule="auto"/>
        <w:ind w:left="0" w:hanging="2"/>
        <w:jc w:val="left"/>
        <w:rPr>
          <w:rFonts w:ascii="Calibri" w:cs="Calibri" w:eastAsia="Calibri" w:hAnsi="Calibri"/>
          <w:b w:val="1"/>
          <w:bCs w:val="1"/>
          <w:color w:val="000000"/>
          <w:sz w:val="22"/>
          <w:szCs w:val="22"/>
        </w:rPr>
      </w:pPr>
      <w:r w:rsidDel="00000000" w:rsidR="00000000" w:rsidRPr="00000000">
        <w:rPr>
          <w:rFonts w:ascii="Calibri" w:cs="Calibri" w:eastAsia="Calibri" w:hAnsi="Calibri"/>
          <w:b w:val="1"/>
          <w:bCs w:val="1"/>
          <w:color w:val="000000"/>
          <w:sz w:val="22"/>
          <w:szCs w:val="22"/>
          <w:rtl w:val="0"/>
        </w:rPr>
        <w:t xml:space="preserve">Zasypywanie sieci</w:t>
      </w:r>
    </w:p>
    <w:p w:rsidR="00000000" w:rsidDel="00000000" w:rsidP="00000000" w:rsidRDefault="00000000" w:rsidRPr="00000000" w14:paraId="0000011F">
      <w:pPr>
        <w:pBdr>
          <w:top w:space="0" w:sz="0" w:val="nil"/>
          <w:left w:space="0" w:sz="0" w:val="nil"/>
          <w:bottom w:space="0" w:sz="0" w:val="nil"/>
          <w:right w:space="0" w:sz="0" w:val="nil"/>
          <w:between w:space="0" w:sz="0" w:val="nil"/>
        </w:pBdr>
        <w:spacing w:after="0"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Wymagania szczegółowe dla badania połączeń spawanych określono w w opracowaniu „Eksploatacyjne wytyczne projektowania oraz wykonania rurociągów preizolowanych w osłonie PE-HD – Część II – Projektowanie i montaż” stanowiącym załącznik nr 2 do specyfikacji technicznej.</w:t>
      </w:r>
    </w:p>
    <w:p w:rsidR="00000000" w:rsidDel="00000000" w:rsidP="00000000" w:rsidRDefault="00000000" w:rsidRPr="00000000" w14:paraId="00000120">
      <w:pPr>
        <w:pBdr>
          <w:top w:space="0" w:sz="0" w:val="nil"/>
          <w:left w:space="0" w:sz="0" w:val="nil"/>
          <w:bottom w:space="0" w:sz="0" w:val="nil"/>
          <w:right w:space="0" w:sz="0" w:val="nil"/>
          <w:between w:space="0" w:sz="0" w:val="nil"/>
        </w:pBdr>
        <w:spacing w:after="0" w:line="240" w:lineRule="auto"/>
        <w:ind w:left="0" w:hanging="2"/>
        <w:rPr>
          <w:rFonts w:ascii="Calibri" w:cs="Calibri" w:eastAsia="Calibri" w:hAnsi="Calibri"/>
          <w:color w:val="000000"/>
          <w:sz w:val="22"/>
          <w:szCs w:val="22"/>
        </w:rPr>
      </w:pPr>
      <w:bookmarkStart w:colFirst="0" w:colLast="0" w:name="_heading=h.23ckvvd" w:id="35"/>
      <w:bookmarkEnd w:id="35"/>
      <w:r w:rsidDel="00000000" w:rsidR="00000000" w:rsidRPr="00000000">
        <w:rPr>
          <w:rtl w:val="0"/>
        </w:rPr>
      </w:r>
    </w:p>
    <w:p w:rsidR="00000000" w:rsidDel="00000000" w:rsidP="00000000" w:rsidRDefault="00000000" w:rsidRPr="00000000" w14:paraId="00000121">
      <w:pPr>
        <w:keepNext w:val="1"/>
        <w:numPr>
          <w:ilvl w:val="2"/>
          <w:numId w:val="22"/>
        </w:numPr>
        <w:pBdr>
          <w:top w:space="0" w:sz="0" w:val="nil"/>
          <w:left w:space="0" w:sz="0" w:val="nil"/>
          <w:bottom w:space="0" w:sz="0" w:val="nil"/>
          <w:right w:space="0" w:sz="0" w:val="nil"/>
          <w:between w:space="0" w:sz="0" w:val="nil"/>
        </w:pBdr>
        <w:spacing w:line="240" w:lineRule="auto"/>
        <w:ind w:left="0" w:hanging="2"/>
        <w:jc w:val="left"/>
        <w:rPr>
          <w:rFonts w:ascii="Calibri" w:cs="Calibri" w:eastAsia="Calibri" w:hAnsi="Calibri"/>
          <w:b w:val="1"/>
          <w:bCs w:val="1"/>
          <w:color w:val="000000"/>
          <w:sz w:val="22"/>
          <w:szCs w:val="22"/>
        </w:rPr>
      </w:pPr>
      <w:r w:rsidDel="00000000" w:rsidR="00000000" w:rsidRPr="00000000">
        <w:rPr>
          <w:rFonts w:ascii="Calibri" w:cs="Calibri" w:eastAsia="Calibri" w:hAnsi="Calibri"/>
          <w:b w:val="1"/>
          <w:bCs w:val="1"/>
          <w:color w:val="000000"/>
          <w:sz w:val="22"/>
          <w:szCs w:val="22"/>
          <w:rtl w:val="0"/>
        </w:rPr>
        <w:t xml:space="preserve">Roboty budowlano-konstrukcyjne:</w:t>
      </w:r>
    </w:p>
    <w:p w:rsidR="00000000" w:rsidDel="00000000" w:rsidP="00000000" w:rsidRDefault="00000000" w:rsidRPr="00000000" w14:paraId="00000122">
      <w:pPr>
        <w:pBdr>
          <w:top w:space="0" w:sz="0" w:val="nil"/>
          <w:left w:space="0" w:sz="0" w:val="nil"/>
          <w:bottom w:space="0" w:sz="0" w:val="nil"/>
          <w:right w:space="0" w:sz="0" w:val="nil"/>
          <w:between w:space="0" w:sz="0" w:val="nil"/>
        </w:pBdr>
        <w:spacing w:after="0"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Roboty betonowe. Roboty betoniarskie muszą być wykonane zgodnie z PN-EN 206-1:2003 lub równoważną. W ścianach konstrukcji należy pozostawić otwory na wprowadzenie rur zgodnie z Dokumentacją Projektową.</w:t>
      </w:r>
    </w:p>
    <w:p w:rsidR="00000000" w:rsidDel="00000000" w:rsidP="00000000" w:rsidRDefault="00000000" w:rsidRPr="00000000" w14:paraId="00000123">
      <w:pPr>
        <w:numPr>
          <w:ilvl w:val="0"/>
          <w:numId w:val="13"/>
        </w:numPr>
        <w:pBdr>
          <w:top w:space="0" w:sz="0" w:val="nil"/>
          <w:left w:space="0" w:sz="0" w:val="nil"/>
          <w:bottom w:space="0" w:sz="0" w:val="nil"/>
          <w:right w:space="0" w:sz="0" w:val="nil"/>
          <w:between w:space="0" w:sz="0" w:val="nil"/>
        </w:pBdr>
        <w:spacing w:after="0"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Wytwarzanie i układanie mieszanki betonowej.</w:t>
      </w:r>
    </w:p>
    <w:p w:rsidR="00000000" w:rsidDel="00000000" w:rsidP="00000000" w:rsidRDefault="00000000" w:rsidRPr="00000000" w14:paraId="00000124">
      <w:pPr>
        <w:pBdr>
          <w:top w:space="0" w:sz="0" w:val="nil"/>
          <w:left w:space="0" w:sz="0" w:val="nil"/>
          <w:bottom w:space="0" w:sz="0" w:val="nil"/>
          <w:right w:space="0" w:sz="0" w:val="nil"/>
          <w:between w:space="0" w:sz="0" w:val="nil"/>
        </w:pBdr>
        <w:tabs>
          <w:tab w:val="left" w:leader="none" w:pos="360"/>
        </w:tabs>
        <w:spacing w:after="0"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sz w:val="22"/>
          <w:szCs w:val="22"/>
          <w:rtl w:val="0"/>
        </w:rPr>
        <w:tab/>
        <w:tab/>
      </w:r>
      <w:r w:rsidDel="00000000" w:rsidR="00000000" w:rsidRPr="00000000">
        <w:rPr>
          <w:rFonts w:ascii="Calibri" w:cs="Calibri" w:eastAsia="Calibri" w:hAnsi="Calibri"/>
          <w:color w:val="000000"/>
          <w:sz w:val="22"/>
          <w:szCs w:val="22"/>
          <w:rtl w:val="0"/>
        </w:rPr>
        <w:t xml:space="preserve">Dozowanie składników do mieszanki betonowej powinno być dokonywane wyłącznie wagowo z </w:t>
        <w:tab/>
        <w:tab/>
        <w:t xml:space="preserve">dokładnością: </w:t>
      </w:r>
    </w:p>
    <w:p w:rsidR="00000000" w:rsidDel="00000000" w:rsidP="00000000" w:rsidRDefault="00000000" w:rsidRPr="00000000" w14:paraId="00000125">
      <w:pPr>
        <w:numPr>
          <w:ilvl w:val="0"/>
          <w:numId w:val="30"/>
        </w:numPr>
        <w:pBdr>
          <w:top w:space="0" w:sz="0" w:val="nil"/>
          <w:left w:space="0" w:sz="0" w:val="nil"/>
          <w:bottom w:space="0" w:sz="0" w:val="nil"/>
          <w:right w:space="0" w:sz="0" w:val="nil"/>
          <w:between w:space="0" w:sz="0" w:val="nil"/>
        </w:pBdr>
        <w:spacing w:after="0"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2% - przy dozowaniu cementu i wody</w:t>
      </w:r>
    </w:p>
    <w:p w:rsidR="00000000" w:rsidDel="00000000" w:rsidP="00000000" w:rsidRDefault="00000000" w:rsidRPr="00000000" w14:paraId="00000126">
      <w:pPr>
        <w:numPr>
          <w:ilvl w:val="0"/>
          <w:numId w:val="30"/>
        </w:numPr>
        <w:pBdr>
          <w:top w:space="0" w:sz="0" w:val="nil"/>
          <w:left w:space="0" w:sz="0" w:val="nil"/>
          <w:bottom w:space="0" w:sz="0" w:val="nil"/>
          <w:right w:space="0" w:sz="0" w:val="nil"/>
          <w:between w:space="0" w:sz="0" w:val="nil"/>
        </w:pBdr>
        <w:spacing w:after="0"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3% - przy dozowaniu kruszywa</w:t>
      </w:r>
    </w:p>
    <w:p w:rsidR="00000000" w:rsidDel="00000000" w:rsidP="00000000" w:rsidRDefault="00000000" w:rsidRPr="00000000" w14:paraId="00000127">
      <w:pPr>
        <w:pBdr>
          <w:top w:space="0" w:sz="0" w:val="nil"/>
          <w:left w:space="0" w:sz="0" w:val="nil"/>
          <w:bottom w:space="0" w:sz="0" w:val="nil"/>
          <w:right w:space="0" w:sz="0" w:val="nil"/>
          <w:between w:space="0" w:sz="0" w:val="nil"/>
        </w:pBdr>
        <w:tabs>
          <w:tab w:val="left" w:leader="none" w:pos="360"/>
        </w:tabs>
        <w:spacing w:after="0"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sz w:val="22"/>
          <w:szCs w:val="22"/>
          <w:rtl w:val="0"/>
        </w:rPr>
        <w:tab/>
        <w:tab/>
      </w:r>
      <w:r w:rsidDel="00000000" w:rsidR="00000000" w:rsidRPr="00000000">
        <w:rPr>
          <w:rFonts w:ascii="Calibri" w:cs="Calibri" w:eastAsia="Calibri" w:hAnsi="Calibri"/>
          <w:color w:val="000000"/>
          <w:sz w:val="22"/>
          <w:szCs w:val="22"/>
          <w:rtl w:val="0"/>
        </w:rPr>
        <w:t xml:space="preserve">Przy dozowaniu składników powinno się uwzględniać korektę związaną ze zmiennym zawilgoceniem  </w:t>
        <w:tab/>
        <w:t xml:space="preserve">kruszywa</w:t>
      </w:r>
    </w:p>
    <w:p w:rsidR="00000000" w:rsidDel="00000000" w:rsidP="00000000" w:rsidRDefault="00000000" w:rsidRPr="00000000" w14:paraId="00000128">
      <w:pPr>
        <w:pBdr>
          <w:top w:space="0" w:sz="0" w:val="nil"/>
          <w:left w:space="0" w:sz="0" w:val="nil"/>
          <w:bottom w:space="0" w:sz="0" w:val="nil"/>
          <w:right w:space="0" w:sz="0" w:val="nil"/>
          <w:between w:space="0" w:sz="0" w:val="nil"/>
        </w:pBdr>
        <w:tabs>
          <w:tab w:val="left" w:leader="none" w:pos="360"/>
        </w:tabs>
        <w:spacing w:after="0"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sz w:val="22"/>
          <w:szCs w:val="22"/>
          <w:rtl w:val="0"/>
        </w:rPr>
        <w:tab/>
        <w:tab/>
      </w:r>
      <w:r w:rsidDel="00000000" w:rsidR="00000000" w:rsidRPr="00000000">
        <w:rPr>
          <w:rFonts w:ascii="Calibri" w:cs="Calibri" w:eastAsia="Calibri" w:hAnsi="Calibri"/>
          <w:color w:val="000000"/>
          <w:sz w:val="22"/>
          <w:szCs w:val="22"/>
          <w:rtl w:val="0"/>
        </w:rPr>
        <w:t xml:space="preserve">Mieszanie składników - czas mieszania należy ustalić doświadczalnie jednak nie powinien być </w:t>
        <w:tab/>
        <w:tab/>
        <w:t xml:space="preserve">krótszy niż 2 minuty.</w:t>
      </w:r>
    </w:p>
    <w:p w:rsidR="00000000" w:rsidDel="00000000" w:rsidP="00000000" w:rsidRDefault="00000000" w:rsidRPr="00000000" w14:paraId="00000129">
      <w:pPr>
        <w:pBdr>
          <w:top w:space="0" w:sz="0" w:val="nil"/>
          <w:left w:space="0" w:sz="0" w:val="nil"/>
          <w:bottom w:space="0" w:sz="0" w:val="nil"/>
          <w:right w:space="0" w:sz="0" w:val="nil"/>
          <w:between w:space="0" w:sz="0" w:val="nil"/>
        </w:pBdr>
        <w:tabs>
          <w:tab w:val="left" w:leader="none" w:pos="360"/>
        </w:tabs>
        <w:spacing w:after="0"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sz w:val="22"/>
          <w:szCs w:val="22"/>
          <w:rtl w:val="0"/>
        </w:rPr>
        <w:tab/>
        <w:tab/>
      </w:r>
      <w:r w:rsidDel="00000000" w:rsidR="00000000" w:rsidRPr="00000000">
        <w:rPr>
          <w:rFonts w:ascii="Calibri" w:cs="Calibri" w:eastAsia="Calibri" w:hAnsi="Calibri"/>
          <w:color w:val="000000"/>
          <w:sz w:val="22"/>
          <w:szCs w:val="22"/>
          <w:rtl w:val="0"/>
        </w:rPr>
        <w:t xml:space="preserve">Układanie mieszanki betonowej. Mieszanki betonowej nie należy zrzucać z wysokości większej niż </w:t>
        <w:tab/>
        <w:t xml:space="preserve">0,75 m od powierzchni na którą spada. W przypadku gdy wysokość ta jest większa należy mieszankę  </w:t>
        <w:tab/>
        <w:t xml:space="preserve">podawać za pomocą rynny zsypowej (do wysokości 3.0 m) lub leja zsypowego teleskopowego.</w:t>
      </w:r>
    </w:p>
    <w:p w:rsidR="00000000" w:rsidDel="00000000" w:rsidP="00000000" w:rsidRDefault="00000000" w:rsidRPr="00000000" w14:paraId="0000012A">
      <w:pPr>
        <w:pBdr>
          <w:top w:space="0" w:sz="0" w:val="nil"/>
          <w:left w:space="0" w:sz="0" w:val="nil"/>
          <w:bottom w:space="0" w:sz="0" w:val="nil"/>
          <w:right w:space="0" w:sz="0" w:val="nil"/>
          <w:between w:space="0" w:sz="0" w:val="nil"/>
        </w:pBdr>
        <w:tabs>
          <w:tab w:val="left" w:leader="none" w:pos="360"/>
        </w:tabs>
        <w:spacing w:after="0"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sz w:val="22"/>
          <w:szCs w:val="22"/>
          <w:rtl w:val="0"/>
        </w:rPr>
        <w:tab/>
        <w:tab/>
      </w:r>
      <w:r w:rsidDel="00000000" w:rsidR="00000000" w:rsidRPr="00000000">
        <w:rPr>
          <w:rFonts w:ascii="Calibri" w:cs="Calibri" w:eastAsia="Calibri" w:hAnsi="Calibri"/>
          <w:color w:val="000000"/>
          <w:sz w:val="22"/>
          <w:szCs w:val="22"/>
          <w:rtl w:val="0"/>
        </w:rPr>
        <w:t xml:space="preserve">Mieszankę betonową należy układać bezpośrednio z pojemnika lub rurociągu pompy, bądź też za </w:t>
        <w:tab/>
        <w:t xml:space="preserve">pośrednictwem rynny warstwami o grubości do 40 cm.</w:t>
      </w:r>
    </w:p>
    <w:p w:rsidR="00000000" w:rsidDel="00000000" w:rsidP="00000000" w:rsidRDefault="00000000" w:rsidRPr="00000000" w14:paraId="0000012B">
      <w:pPr>
        <w:pBdr>
          <w:top w:space="0" w:sz="0" w:val="nil"/>
          <w:left w:space="0" w:sz="0" w:val="nil"/>
          <w:bottom w:space="0" w:sz="0" w:val="nil"/>
          <w:right w:space="0" w:sz="0" w:val="nil"/>
          <w:between w:space="0" w:sz="0" w:val="nil"/>
        </w:pBdr>
        <w:tabs>
          <w:tab w:val="left" w:leader="none" w:pos="360"/>
        </w:tabs>
        <w:spacing w:after="0"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sz w:val="22"/>
          <w:szCs w:val="22"/>
          <w:rtl w:val="0"/>
        </w:rPr>
        <w:tab/>
        <w:tab/>
      </w:r>
      <w:r w:rsidDel="00000000" w:rsidR="00000000" w:rsidRPr="00000000">
        <w:rPr>
          <w:rFonts w:ascii="Calibri" w:cs="Calibri" w:eastAsia="Calibri" w:hAnsi="Calibri"/>
          <w:color w:val="000000"/>
          <w:sz w:val="22"/>
          <w:szCs w:val="22"/>
          <w:rtl w:val="0"/>
        </w:rPr>
        <w:t xml:space="preserve">Do wyrównywania powierzchni  betonowej  należy stosować belki (łaty) wibracyjne.</w:t>
      </w:r>
    </w:p>
    <w:p w:rsidR="00000000" w:rsidDel="00000000" w:rsidP="00000000" w:rsidRDefault="00000000" w:rsidRPr="00000000" w14:paraId="0000012C">
      <w:pPr>
        <w:numPr>
          <w:ilvl w:val="0"/>
          <w:numId w:val="13"/>
        </w:numPr>
        <w:pBdr>
          <w:top w:space="0" w:sz="0" w:val="nil"/>
          <w:left w:space="0" w:sz="0" w:val="nil"/>
          <w:bottom w:space="0" w:sz="0" w:val="nil"/>
          <w:right w:space="0" w:sz="0" w:val="nil"/>
          <w:between w:space="0" w:sz="0" w:val="nil"/>
        </w:pBdr>
        <w:spacing w:after="0"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Zagęszczanie betonu</w:t>
      </w:r>
    </w:p>
    <w:p w:rsidR="00000000" w:rsidDel="00000000" w:rsidP="00000000" w:rsidRDefault="00000000" w:rsidRPr="00000000" w14:paraId="0000012D">
      <w:pPr>
        <w:pBdr>
          <w:top w:space="0" w:sz="0" w:val="nil"/>
          <w:left w:space="0" w:sz="0" w:val="nil"/>
          <w:bottom w:space="0" w:sz="0" w:val="nil"/>
          <w:right w:space="0" w:sz="0" w:val="nil"/>
          <w:between w:space="0" w:sz="0" w:val="nil"/>
        </w:pBdr>
        <w:tabs>
          <w:tab w:val="left" w:leader="none" w:pos="360"/>
        </w:tabs>
        <w:spacing w:after="0"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sz w:val="22"/>
          <w:szCs w:val="22"/>
          <w:rtl w:val="0"/>
        </w:rPr>
        <w:tab/>
        <w:tab/>
      </w:r>
      <w:r w:rsidDel="00000000" w:rsidR="00000000" w:rsidRPr="00000000">
        <w:rPr>
          <w:rFonts w:ascii="Calibri" w:cs="Calibri" w:eastAsia="Calibri" w:hAnsi="Calibri"/>
          <w:color w:val="000000"/>
          <w:sz w:val="22"/>
          <w:szCs w:val="22"/>
          <w:rtl w:val="0"/>
        </w:rPr>
        <w:t xml:space="preserve">Przy zagęszczaniu mieszanki betonowej należy stosować następujące warunki: </w:t>
      </w:r>
    </w:p>
    <w:p w:rsidR="00000000" w:rsidDel="00000000" w:rsidP="00000000" w:rsidRDefault="00000000" w:rsidRPr="00000000" w14:paraId="0000012E">
      <w:pPr>
        <w:numPr>
          <w:ilvl w:val="0"/>
          <w:numId w:val="31"/>
        </w:numPr>
        <w:pBdr>
          <w:top w:space="0" w:sz="0" w:val="nil"/>
          <w:left w:space="0" w:sz="0" w:val="nil"/>
          <w:bottom w:space="0" w:sz="0" w:val="nil"/>
          <w:right w:space="0" w:sz="0" w:val="nil"/>
          <w:between w:space="0" w:sz="0" w:val="nil"/>
        </w:pBdr>
        <w:tabs>
          <w:tab w:val="left" w:leader="none" w:pos="360"/>
        </w:tabs>
        <w:spacing w:after="0" w:line="240" w:lineRule="auto"/>
        <w:ind w:left="0" w:hanging="2"/>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podczas zagęszczania wibratorami  wgłębnymi  nie wolno dotykać zbrojenia buławą wibratora,</w:t>
      </w:r>
    </w:p>
    <w:p w:rsidR="00000000" w:rsidDel="00000000" w:rsidP="00000000" w:rsidRDefault="00000000" w:rsidRPr="00000000" w14:paraId="0000012F">
      <w:pPr>
        <w:numPr>
          <w:ilvl w:val="0"/>
          <w:numId w:val="31"/>
        </w:numPr>
        <w:pBdr>
          <w:top w:space="0" w:sz="0" w:val="nil"/>
          <w:left w:space="0" w:sz="0" w:val="nil"/>
          <w:bottom w:space="0" w:sz="0" w:val="nil"/>
          <w:right w:space="0" w:sz="0" w:val="nil"/>
          <w:between w:space="0" w:sz="0" w:val="nil"/>
        </w:pBdr>
        <w:tabs>
          <w:tab w:val="left" w:leader="none" w:pos="360"/>
        </w:tabs>
        <w:spacing w:after="0" w:line="240" w:lineRule="auto"/>
        <w:ind w:left="0" w:hanging="2"/>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belki (łaty) wibracyjne powinny być stosowane do wyrównania powierzchni betonu płyt pomostów i charakteryzować się jednakowymi drganiami na całej długości,</w:t>
      </w:r>
    </w:p>
    <w:p w:rsidR="00000000" w:rsidDel="00000000" w:rsidP="00000000" w:rsidRDefault="00000000" w:rsidRPr="00000000" w14:paraId="00000130">
      <w:pPr>
        <w:numPr>
          <w:ilvl w:val="0"/>
          <w:numId w:val="31"/>
        </w:numPr>
        <w:pBdr>
          <w:top w:space="0" w:sz="0" w:val="nil"/>
          <w:left w:space="0" w:sz="0" w:val="nil"/>
          <w:bottom w:space="0" w:sz="0" w:val="nil"/>
          <w:right w:space="0" w:sz="0" w:val="nil"/>
          <w:between w:space="0" w:sz="0" w:val="nil"/>
        </w:pBdr>
        <w:tabs>
          <w:tab w:val="left" w:leader="none" w:pos="360"/>
        </w:tabs>
        <w:spacing w:after="0" w:line="240" w:lineRule="auto"/>
        <w:ind w:left="0" w:hanging="2"/>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czas zagęszczania wibratorem powierzchniowym, lub belką (łatą) wibracyjną w jednym miejscu powinien wynosić od 30 do 60 s.</w:t>
      </w:r>
    </w:p>
    <w:p w:rsidR="00000000" w:rsidDel="00000000" w:rsidP="00000000" w:rsidRDefault="00000000" w:rsidRPr="00000000" w14:paraId="00000131">
      <w:pPr>
        <w:numPr>
          <w:ilvl w:val="0"/>
          <w:numId w:val="13"/>
        </w:numPr>
        <w:pBdr>
          <w:top w:space="0" w:sz="0" w:val="nil"/>
          <w:left w:space="0" w:sz="0" w:val="nil"/>
          <w:bottom w:space="0" w:sz="0" w:val="nil"/>
          <w:right w:space="0" w:sz="0" w:val="nil"/>
          <w:between w:space="0" w:sz="0" w:val="nil"/>
        </w:pBdr>
        <w:spacing w:after="0"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Przerwy w betonowaniu</w:t>
      </w:r>
    </w:p>
    <w:p w:rsidR="00000000" w:rsidDel="00000000" w:rsidP="00000000" w:rsidRDefault="00000000" w:rsidRPr="00000000" w14:paraId="00000132">
      <w:pPr>
        <w:pBdr>
          <w:top w:space="0" w:sz="0" w:val="nil"/>
          <w:left w:space="0" w:sz="0" w:val="nil"/>
          <w:bottom w:space="0" w:sz="0" w:val="nil"/>
          <w:right w:space="0" w:sz="0" w:val="nil"/>
          <w:between w:space="0" w:sz="0" w:val="nil"/>
        </w:pBdr>
        <w:tabs>
          <w:tab w:val="left" w:leader="none" w:pos="360"/>
        </w:tabs>
        <w:spacing w:after="0" w:line="240" w:lineRule="auto"/>
        <w:ind w:left="0" w:hanging="2"/>
        <w:jc w:val="left"/>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P</w:t>
      </w:r>
      <w:r w:rsidDel="00000000" w:rsidR="00000000" w:rsidRPr="00000000">
        <w:rPr>
          <w:rFonts w:ascii="Calibri" w:cs="Calibri" w:eastAsia="Calibri" w:hAnsi="Calibri"/>
          <w:color w:val="000000"/>
          <w:sz w:val="22"/>
          <w:szCs w:val="22"/>
          <w:rtl w:val="0"/>
        </w:rPr>
        <w:t xml:space="preserve">owierzchnia betonu w miejscu przerwania betonowania powinna być starannie przygotowana  do połączenia betonu stwardniałego ze świeżym przez: </w:t>
      </w:r>
      <w:r w:rsidDel="00000000" w:rsidR="00000000" w:rsidRPr="00000000">
        <w:rPr>
          <w:rtl w:val="0"/>
        </w:rPr>
      </w:r>
    </w:p>
    <w:p w:rsidR="00000000" w:rsidDel="00000000" w:rsidP="00000000" w:rsidRDefault="00000000" w:rsidRPr="00000000" w14:paraId="00000133">
      <w:pPr>
        <w:numPr>
          <w:ilvl w:val="0"/>
          <w:numId w:val="25"/>
        </w:numPr>
        <w:pBdr>
          <w:top w:space="0" w:sz="0" w:val="nil"/>
          <w:left w:space="0" w:sz="0" w:val="nil"/>
          <w:bottom w:space="0" w:sz="0" w:val="nil"/>
          <w:right w:space="0" w:sz="0" w:val="nil"/>
          <w:between w:space="0" w:sz="0" w:val="nil"/>
        </w:pBdr>
        <w:tabs>
          <w:tab w:val="left" w:leader="none" w:pos="360"/>
        </w:tabs>
        <w:spacing w:after="0" w:line="240" w:lineRule="auto"/>
        <w:ind w:left="0" w:hanging="2"/>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usunięcie z powierzchni betonu stwardniałego, luźnych okruchów betonu oraz warstwy pozostałego szkliwa cementowego,</w:t>
      </w:r>
    </w:p>
    <w:p w:rsidR="00000000" w:rsidDel="00000000" w:rsidP="00000000" w:rsidRDefault="00000000" w:rsidRPr="00000000" w14:paraId="00000134">
      <w:pPr>
        <w:numPr>
          <w:ilvl w:val="0"/>
          <w:numId w:val="25"/>
        </w:numPr>
        <w:pBdr>
          <w:top w:space="0" w:sz="0" w:val="nil"/>
          <w:left w:space="0" w:sz="0" w:val="nil"/>
          <w:bottom w:space="0" w:sz="0" w:val="nil"/>
          <w:right w:space="0" w:sz="0" w:val="nil"/>
          <w:between w:space="0" w:sz="0" w:val="nil"/>
        </w:pBdr>
        <w:tabs>
          <w:tab w:val="left" w:leader="none" w:pos="360"/>
        </w:tabs>
        <w:spacing w:after="0" w:line="240" w:lineRule="auto"/>
        <w:ind w:left="0" w:hanging="2"/>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obfite zwilżenie wodą i narzucenie  kilku milimetrowej warstwy zaprawy cementowej o stosunku zbliżonym do zaprawy w betonie wykonywanym, albo też narzucenie cienkiej warstwy zaczynu cementowego. </w:t>
      </w:r>
    </w:p>
    <w:p w:rsidR="00000000" w:rsidDel="00000000" w:rsidP="00000000" w:rsidRDefault="00000000" w:rsidRPr="00000000" w14:paraId="00000135">
      <w:pPr>
        <w:pBdr>
          <w:top w:space="0" w:sz="0" w:val="nil"/>
          <w:left w:space="0" w:sz="0" w:val="nil"/>
          <w:bottom w:space="0" w:sz="0" w:val="nil"/>
          <w:right w:space="0" w:sz="0" w:val="nil"/>
          <w:between w:space="0" w:sz="0" w:val="nil"/>
        </w:pBdr>
        <w:tabs>
          <w:tab w:val="left" w:leader="none" w:pos="360"/>
        </w:tabs>
        <w:spacing w:after="0" w:line="240" w:lineRule="auto"/>
        <w:ind w:left="0" w:hanging="2"/>
        <w:jc w:val="left"/>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Powyższe zabiegi należy wykonać bezpośrednio przed rozpoczęciem betonowania.</w:t>
      </w:r>
    </w:p>
    <w:p w:rsidR="00000000" w:rsidDel="00000000" w:rsidP="00000000" w:rsidRDefault="00000000" w:rsidRPr="00000000" w14:paraId="00000136">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W przypadku przerwy w układaniu  betonu zagęszczonego przez wibrowanie, wznowienie betonowania nie powinno się odbyć później niż w ciągu 3 godzin lub po całkowitym stwardnieniu betonu. Jeżeli temperatura powietrza jest wyższa niż 20</w:t>
      </w:r>
      <w:r w:rsidDel="00000000" w:rsidR="00000000" w:rsidRPr="00000000">
        <w:rPr>
          <w:rFonts w:ascii="Calibri" w:cs="Calibri" w:eastAsia="Calibri" w:hAnsi="Calibri"/>
          <w:color w:val="000000"/>
          <w:sz w:val="22"/>
          <w:szCs w:val="22"/>
          <w:vertAlign w:val="superscript"/>
          <w:rtl w:val="0"/>
        </w:rPr>
        <w:t xml:space="preserve">o</w:t>
      </w:r>
      <w:r w:rsidDel="00000000" w:rsidR="00000000" w:rsidRPr="00000000">
        <w:rPr>
          <w:rFonts w:ascii="Calibri" w:cs="Calibri" w:eastAsia="Calibri" w:hAnsi="Calibri"/>
          <w:color w:val="000000"/>
          <w:sz w:val="22"/>
          <w:szCs w:val="22"/>
          <w:rtl w:val="0"/>
        </w:rPr>
        <w:t xml:space="preserve"> C to czas trwania przerwy nie powinien przekraczać 2 godzin. </w:t>
      </w:r>
    </w:p>
    <w:p w:rsidR="00000000" w:rsidDel="00000000" w:rsidP="00000000" w:rsidRDefault="00000000" w:rsidRPr="00000000" w14:paraId="00000137">
      <w:pPr>
        <w:numPr>
          <w:ilvl w:val="0"/>
          <w:numId w:val="13"/>
        </w:numPr>
        <w:pBdr>
          <w:top w:space="0" w:sz="0" w:val="nil"/>
          <w:left w:space="0" w:sz="0" w:val="nil"/>
          <w:bottom w:space="0" w:sz="0" w:val="nil"/>
          <w:right w:space="0" w:sz="0" w:val="nil"/>
          <w:between w:space="0" w:sz="0" w:val="nil"/>
        </w:pBdr>
        <w:spacing w:after="0"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Warunki atmosferyczne w czasie betonowania</w:t>
      </w:r>
    </w:p>
    <w:p w:rsidR="00000000" w:rsidDel="00000000" w:rsidP="00000000" w:rsidRDefault="00000000" w:rsidRPr="00000000" w14:paraId="00000138">
      <w:pPr>
        <w:numPr>
          <w:ilvl w:val="0"/>
          <w:numId w:val="27"/>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u w:val="single"/>
          <w:rtl w:val="0"/>
        </w:rPr>
        <w:t xml:space="preserve">Temperatura otoczenia. </w:t>
      </w:r>
      <w:r w:rsidDel="00000000" w:rsidR="00000000" w:rsidRPr="00000000">
        <w:rPr>
          <w:rtl w:val="0"/>
        </w:rPr>
      </w:r>
    </w:p>
    <w:p w:rsidR="00000000" w:rsidDel="00000000" w:rsidP="00000000" w:rsidRDefault="00000000" w:rsidRPr="00000000" w14:paraId="00000139">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u w:val="single"/>
        </w:rPr>
      </w:pPr>
      <w:r w:rsidDel="00000000" w:rsidR="00000000" w:rsidRPr="00000000">
        <w:rPr>
          <w:rFonts w:ascii="Calibri" w:cs="Calibri" w:eastAsia="Calibri" w:hAnsi="Calibri"/>
          <w:color w:val="000000"/>
          <w:sz w:val="22"/>
          <w:szCs w:val="22"/>
          <w:rtl w:val="0"/>
        </w:rPr>
        <w:t xml:space="preserve">Betonowanie piaskowników należy wykonywać wyłącznie w temperaturach nie niższych niż plus 5</w:t>
      </w:r>
      <w:r w:rsidDel="00000000" w:rsidR="00000000" w:rsidRPr="00000000">
        <w:rPr>
          <w:rFonts w:ascii="Calibri" w:cs="Calibri" w:eastAsia="Calibri" w:hAnsi="Calibri"/>
          <w:color w:val="000000"/>
          <w:sz w:val="22"/>
          <w:szCs w:val="22"/>
          <w:vertAlign w:val="superscript"/>
          <w:rtl w:val="0"/>
        </w:rPr>
        <w:t xml:space="preserve">o</w:t>
      </w:r>
      <w:r w:rsidDel="00000000" w:rsidR="00000000" w:rsidRPr="00000000">
        <w:rPr>
          <w:rFonts w:ascii="Calibri" w:cs="Calibri" w:eastAsia="Calibri" w:hAnsi="Calibri"/>
          <w:color w:val="000000"/>
          <w:sz w:val="22"/>
          <w:szCs w:val="22"/>
          <w:rtl w:val="0"/>
        </w:rPr>
        <w:t xml:space="preserve">C zachowując warunki umożliwiające uzyskanie przez beton wytrzymałości co najmniej 15 MPa przed pierwszym zamarznięciem. W wyjątkowych przypadkach dopuszcza się betonowanie w temperaturze  do -5</w:t>
      </w:r>
      <w:r w:rsidDel="00000000" w:rsidR="00000000" w:rsidRPr="00000000">
        <w:rPr>
          <w:rFonts w:ascii="Calibri" w:cs="Calibri" w:eastAsia="Calibri" w:hAnsi="Calibri"/>
          <w:color w:val="000000"/>
          <w:sz w:val="22"/>
          <w:szCs w:val="22"/>
          <w:vertAlign w:val="superscript"/>
          <w:rtl w:val="0"/>
        </w:rPr>
        <w:t xml:space="preserve">o</w:t>
      </w:r>
      <w:r w:rsidDel="00000000" w:rsidR="00000000" w:rsidRPr="00000000">
        <w:rPr>
          <w:rFonts w:ascii="Calibri" w:cs="Calibri" w:eastAsia="Calibri" w:hAnsi="Calibri"/>
          <w:color w:val="000000"/>
          <w:sz w:val="22"/>
          <w:szCs w:val="22"/>
          <w:rtl w:val="0"/>
        </w:rPr>
        <w:t xml:space="preserve"> C jednak wymaga to zgody Inżyniera oraz zapewnienia mieszanki betonowej o temperaturze+20</w:t>
      </w:r>
      <w:r w:rsidDel="00000000" w:rsidR="00000000" w:rsidRPr="00000000">
        <w:rPr>
          <w:rFonts w:ascii="Calibri" w:cs="Calibri" w:eastAsia="Calibri" w:hAnsi="Calibri"/>
          <w:color w:val="000000"/>
          <w:sz w:val="22"/>
          <w:szCs w:val="22"/>
          <w:vertAlign w:val="superscript"/>
          <w:rtl w:val="0"/>
        </w:rPr>
        <w:t xml:space="preserve">o</w:t>
      </w:r>
      <w:r w:rsidDel="00000000" w:rsidR="00000000" w:rsidRPr="00000000">
        <w:rPr>
          <w:rFonts w:ascii="Calibri" w:cs="Calibri" w:eastAsia="Calibri" w:hAnsi="Calibri"/>
          <w:color w:val="000000"/>
          <w:sz w:val="22"/>
          <w:szCs w:val="22"/>
          <w:rtl w:val="0"/>
        </w:rPr>
        <w:t xml:space="preserve">C w chwili układania i zabezpieczenia uformowanego elementu przed utratą ciepła w czasie co najmniej 7 dni.</w:t>
      </w:r>
      <w:r w:rsidDel="00000000" w:rsidR="00000000" w:rsidRPr="00000000">
        <w:rPr>
          <w:rtl w:val="0"/>
        </w:rPr>
      </w:r>
    </w:p>
    <w:p w:rsidR="00000000" w:rsidDel="00000000" w:rsidP="00000000" w:rsidRDefault="00000000" w:rsidRPr="00000000" w14:paraId="0000013A">
      <w:pPr>
        <w:numPr>
          <w:ilvl w:val="0"/>
          <w:numId w:val="27"/>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sz w:val="22"/>
          <w:szCs w:val="22"/>
        </w:rPr>
      </w:pPr>
      <w:r w:rsidDel="00000000" w:rsidR="00000000" w:rsidRPr="00000000">
        <w:rPr>
          <w:rFonts w:ascii="Calibri" w:cs="Calibri" w:eastAsia="Calibri" w:hAnsi="Calibri"/>
          <w:color w:val="000000"/>
          <w:sz w:val="22"/>
          <w:szCs w:val="22"/>
          <w:u w:val="single"/>
          <w:rtl w:val="0"/>
        </w:rPr>
        <w:t xml:space="preserve">Zabezpieczenie podczas opadów </w:t>
      </w:r>
      <w:r w:rsidDel="00000000" w:rsidR="00000000" w:rsidRPr="00000000">
        <w:rPr>
          <w:rtl w:val="0"/>
        </w:rPr>
      </w:r>
    </w:p>
    <w:p w:rsidR="00000000" w:rsidDel="00000000" w:rsidP="00000000" w:rsidRDefault="00000000" w:rsidRPr="00000000" w14:paraId="0000013B">
      <w:pPr>
        <w:pBdr>
          <w:top w:space="0" w:sz="0" w:val="nil"/>
          <w:left w:space="0" w:sz="0" w:val="nil"/>
          <w:bottom w:space="0" w:sz="0" w:val="nil"/>
          <w:right w:space="0" w:sz="0" w:val="nil"/>
          <w:between w:space="0" w:sz="0" w:val="nil"/>
        </w:pBdr>
        <w:spacing w:before="120" w:line="240" w:lineRule="auto"/>
        <w:ind w:left="0" w:hanging="2"/>
        <w:rPr>
          <w:rFonts w:ascii="Calibri" w:cs="Calibri" w:eastAsia="Calibri" w:hAnsi="Calibri"/>
          <w:color w:val="000000"/>
          <w:sz w:val="22"/>
          <w:szCs w:val="22"/>
          <w:u w:val="single"/>
        </w:rPr>
      </w:pPr>
      <w:r w:rsidDel="00000000" w:rsidR="00000000" w:rsidRPr="00000000">
        <w:rPr>
          <w:rFonts w:ascii="Calibri" w:cs="Calibri" w:eastAsia="Calibri" w:hAnsi="Calibri"/>
          <w:color w:val="000000"/>
          <w:sz w:val="22"/>
          <w:szCs w:val="22"/>
          <w:rtl w:val="0"/>
        </w:rPr>
        <w:t xml:space="preserve">Przed przystąpieniem do betonowania należy przygotować sposób postępowania na wypadek wystąpienia ulewnego deszczu. Konieczne jest przygotowanie odpowiedniej ilości osłon wodoszczelnych dla zabezpieczenia odkrytych powierzchni świeżego betonu.</w:t>
      </w:r>
      <w:r w:rsidDel="00000000" w:rsidR="00000000" w:rsidRPr="00000000">
        <w:rPr>
          <w:rtl w:val="0"/>
        </w:rPr>
      </w:r>
    </w:p>
    <w:p w:rsidR="00000000" w:rsidDel="00000000" w:rsidP="00000000" w:rsidRDefault="00000000" w:rsidRPr="00000000" w14:paraId="0000013C">
      <w:pPr>
        <w:numPr>
          <w:ilvl w:val="0"/>
          <w:numId w:val="27"/>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sz w:val="22"/>
          <w:szCs w:val="22"/>
        </w:rPr>
      </w:pPr>
      <w:r w:rsidDel="00000000" w:rsidR="00000000" w:rsidRPr="00000000">
        <w:rPr>
          <w:rFonts w:ascii="Calibri" w:cs="Calibri" w:eastAsia="Calibri" w:hAnsi="Calibri"/>
          <w:color w:val="000000"/>
          <w:sz w:val="22"/>
          <w:szCs w:val="22"/>
          <w:u w:val="single"/>
          <w:rtl w:val="0"/>
        </w:rPr>
        <w:t xml:space="preserve">Zabezpieczenie betonu przy niskich temperaturach otoczenia </w:t>
      </w:r>
      <w:r w:rsidDel="00000000" w:rsidR="00000000" w:rsidRPr="00000000">
        <w:rPr>
          <w:rtl w:val="0"/>
        </w:rPr>
      </w:r>
    </w:p>
    <w:p w:rsidR="00000000" w:rsidDel="00000000" w:rsidP="00000000" w:rsidRDefault="00000000" w:rsidRPr="00000000" w14:paraId="0000013D">
      <w:pPr>
        <w:pBdr>
          <w:top w:space="0" w:sz="0" w:val="nil"/>
          <w:left w:space="0" w:sz="0" w:val="nil"/>
          <w:bottom w:space="0" w:sz="0" w:val="nil"/>
          <w:right w:space="0" w:sz="0" w:val="nil"/>
          <w:between w:space="0" w:sz="0" w:val="nil"/>
        </w:pBdr>
        <w:spacing w:after="0"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Przy niskich temperaturach otoczenia ułożony beton powinien być chroniony przed zamarznięciem przez okres pozwalający na uzyskanie wytrzymałości co najmniej 15 MPa.</w:t>
      </w:r>
    </w:p>
    <w:p w:rsidR="00000000" w:rsidDel="00000000" w:rsidP="00000000" w:rsidRDefault="00000000" w:rsidRPr="00000000" w14:paraId="0000013E">
      <w:pPr>
        <w:pBdr>
          <w:top w:space="0" w:sz="0" w:val="nil"/>
          <w:left w:space="0" w:sz="0" w:val="nil"/>
          <w:bottom w:space="0" w:sz="0" w:val="nil"/>
          <w:right w:space="0" w:sz="0" w:val="nil"/>
          <w:between w:space="0" w:sz="0" w:val="nil"/>
        </w:pBdr>
        <w:spacing w:after="0"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Uzyskanie wytrzymałości 15 MPa powinno być zbadane na próbkach przechowywanych w takich samych warunkach jak zabetonowana konstrukcja.</w:t>
      </w:r>
    </w:p>
    <w:p w:rsidR="00000000" w:rsidDel="00000000" w:rsidP="00000000" w:rsidRDefault="00000000" w:rsidRPr="00000000" w14:paraId="0000013F">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Przy przewidywaniu spadku temperatury poniżej 0</w:t>
      </w:r>
      <w:r w:rsidDel="00000000" w:rsidR="00000000" w:rsidRPr="00000000">
        <w:rPr>
          <w:rFonts w:ascii="Calibri" w:cs="Calibri" w:eastAsia="Calibri" w:hAnsi="Calibri"/>
          <w:color w:val="000000"/>
          <w:sz w:val="22"/>
          <w:szCs w:val="22"/>
          <w:vertAlign w:val="superscript"/>
          <w:rtl w:val="0"/>
        </w:rPr>
        <w:t xml:space="preserve">o</w:t>
      </w:r>
      <w:r w:rsidDel="00000000" w:rsidR="00000000" w:rsidRPr="00000000">
        <w:rPr>
          <w:rFonts w:ascii="Calibri" w:cs="Calibri" w:eastAsia="Calibri" w:hAnsi="Calibri"/>
          <w:color w:val="000000"/>
          <w:sz w:val="22"/>
          <w:szCs w:val="22"/>
          <w:rtl w:val="0"/>
        </w:rPr>
        <w:t xml:space="preserve"> C w okresie twardnienia betonu należy wcześniej podjąć działania organizacyjne pozwalające na  odpowiednie osłonięcie i podgrzanie zabetonowanej konstrukcji.</w:t>
      </w:r>
    </w:p>
    <w:p w:rsidR="00000000" w:rsidDel="00000000" w:rsidP="00000000" w:rsidRDefault="00000000" w:rsidRPr="00000000" w14:paraId="00000140">
      <w:pPr>
        <w:numPr>
          <w:ilvl w:val="0"/>
          <w:numId w:val="13"/>
        </w:numPr>
        <w:pBdr>
          <w:top w:space="0" w:sz="0" w:val="nil"/>
          <w:left w:space="0" w:sz="0" w:val="nil"/>
          <w:bottom w:space="0" w:sz="0" w:val="nil"/>
          <w:right w:space="0" w:sz="0" w:val="nil"/>
          <w:between w:space="0" w:sz="0" w:val="nil"/>
        </w:pBdr>
        <w:spacing w:after="0"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Pielęgnacja betonu</w:t>
      </w:r>
    </w:p>
    <w:p w:rsidR="00000000" w:rsidDel="00000000" w:rsidP="00000000" w:rsidRDefault="00000000" w:rsidRPr="00000000" w14:paraId="00000141">
      <w:pPr>
        <w:pBdr>
          <w:top w:space="0" w:sz="0" w:val="nil"/>
          <w:left w:space="0" w:sz="0" w:val="nil"/>
          <w:bottom w:space="0" w:sz="0" w:val="nil"/>
          <w:right w:space="0" w:sz="0" w:val="nil"/>
          <w:between w:space="0" w:sz="0" w:val="nil"/>
        </w:pBdr>
        <w:spacing w:after="0"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Materiały i sposoby pielęgnacji betonu </w:t>
      </w:r>
    </w:p>
    <w:p w:rsidR="00000000" w:rsidDel="00000000" w:rsidP="00000000" w:rsidRDefault="00000000" w:rsidRPr="00000000" w14:paraId="00000142">
      <w:pPr>
        <w:pBdr>
          <w:top w:space="0" w:sz="0" w:val="nil"/>
          <w:left w:space="0" w:sz="0" w:val="nil"/>
          <w:bottom w:space="0" w:sz="0" w:val="nil"/>
          <w:right w:space="0" w:sz="0" w:val="nil"/>
          <w:between w:space="0" w:sz="0" w:val="nil"/>
        </w:pBdr>
        <w:spacing w:after="0"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Bezpośrednio po zakończeniu betonowania zaleca się przykrycie powierzchni betonu lekkimi osłonami wodoszczelnymi zapobiegającymi odparowaniu wody z betonu i chroniącymi beton przed deszczem i nasłonecznieniem. </w:t>
      </w:r>
    </w:p>
    <w:p w:rsidR="00000000" w:rsidDel="00000000" w:rsidP="00000000" w:rsidRDefault="00000000" w:rsidRPr="00000000" w14:paraId="00000143">
      <w:pPr>
        <w:pBdr>
          <w:top w:space="0" w:sz="0" w:val="nil"/>
          <w:left w:space="0" w:sz="0" w:val="nil"/>
          <w:bottom w:space="0" w:sz="0" w:val="nil"/>
          <w:right w:space="0" w:sz="0" w:val="nil"/>
          <w:between w:space="0" w:sz="0" w:val="nil"/>
        </w:pBdr>
        <w:spacing w:after="0"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Przy temperaturze otoczenia wyższej niż +5</w:t>
      </w:r>
      <w:r w:rsidDel="00000000" w:rsidR="00000000" w:rsidRPr="00000000">
        <w:rPr>
          <w:rFonts w:ascii="Calibri" w:cs="Calibri" w:eastAsia="Calibri" w:hAnsi="Calibri"/>
          <w:color w:val="000000"/>
          <w:sz w:val="22"/>
          <w:szCs w:val="22"/>
          <w:vertAlign w:val="superscript"/>
          <w:rtl w:val="0"/>
        </w:rPr>
        <w:t xml:space="preserve">o</w:t>
      </w:r>
      <w:r w:rsidDel="00000000" w:rsidR="00000000" w:rsidRPr="00000000">
        <w:rPr>
          <w:rFonts w:ascii="Calibri" w:cs="Calibri" w:eastAsia="Calibri" w:hAnsi="Calibri"/>
          <w:color w:val="000000"/>
          <w:sz w:val="22"/>
          <w:szCs w:val="22"/>
          <w:rtl w:val="0"/>
        </w:rPr>
        <w:t xml:space="preserve"> C należy nie później niż po 12 godzinach od zakończenia betonowania rozpocząć pielęgnację wilgotnościową betonu i prowadzić ją co najmniej przez 7 dni ( przez polewanie co najmniej 3 razy na dobę).</w:t>
      </w:r>
    </w:p>
    <w:p w:rsidR="00000000" w:rsidDel="00000000" w:rsidP="00000000" w:rsidRDefault="00000000" w:rsidRPr="00000000" w14:paraId="00000144">
      <w:pPr>
        <w:pBdr>
          <w:top w:space="0" w:sz="0" w:val="nil"/>
          <w:left w:space="0" w:sz="0" w:val="nil"/>
          <w:bottom w:space="0" w:sz="0" w:val="nil"/>
          <w:right w:space="0" w:sz="0" w:val="nil"/>
          <w:between w:space="0" w:sz="0" w:val="nil"/>
        </w:pBdr>
        <w:spacing w:after="0"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Nanoszenie błon nieprzepuszczających wody jest dopuszczalne tylko wtedy gdy beton nie będzie się łączył następną warstwą konstrukcji monolitycznej, a także gdy nie są stawiane specjalne wymagania odnośnie jakości pielęgnowanej powierzchni.</w:t>
      </w:r>
    </w:p>
    <w:p w:rsidR="00000000" w:rsidDel="00000000" w:rsidP="00000000" w:rsidRDefault="00000000" w:rsidRPr="00000000" w14:paraId="00000145">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Woda stosowana do polewania betonu powinna spełniać wymagania normy PN-88/B-32250 W czasie dojrzewania betonu elementy powinny być chronione przed uderzeniami i drganiami.</w:t>
      </w:r>
    </w:p>
    <w:p w:rsidR="00000000" w:rsidDel="00000000" w:rsidP="00000000" w:rsidRDefault="00000000" w:rsidRPr="00000000" w14:paraId="00000146">
      <w:pPr>
        <w:numPr>
          <w:ilvl w:val="0"/>
          <w:numId w:val="13"/>
        </w:numPr>
        <w:pBdr>
          <w:top w:space="0" w:sz="0" w:val="nil"/>
          <w:left w:space="0" w:sz="0" w:val="nil"/>
          <w:bottom w:space="0" w:sz="0" w:val="nil"/>
          <w:right w:space="0" w:sz="0" w:val="nil"/>
          <w:between w:space="0" w:sz="0" w:val="nil"/>
        </w:pBdr>
        <w:spacing w:after="0"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Okres pielęgnacji</w:t>
      </w:r>
    </w:p>
    <w:p w:rsidR="00000000" w:rsidDel="00000000" w:rsidP="00000000" w:rsidRDefault="00000000" w:rsidRPr="00000000" w14:paraId="00000147">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Ułożony beton należy utrzymywać w stałej wilgoci przez okres co najmniej 7 dni. Polewanie betonu normalnie twardniejącego należy rozpocząć po 24 godzinach od zabetonowania. </w:t>
      </w:r>
    </w:p>
    <w:p w:rsidR="00000000" w:rsidDel="00000000" w:rsidP="00000000" w:rsidRDefault="00000000" w:rsidRPr="00000000" w14:paraId="00000148">
      <w:pPr>
        <w:numPr>
          <w:ilvl w:val="0"/>
          <w:numId w:val="13"/>
        </w:numPr>
        <w:pBdr>
          <w:top w:space="0" w:sz="0" w:val="nil"/>
          <w:left w:space="0" w:sz="0" w:val="nil"/>
          <w:bottom w:space="0" w:sz="0" w:val="nil"/>
          <w:right w:space="0" w:sz="0" w:val="nil"/>
          <w:between w:space="0" w:sz="0" w:val="nil"/>
        </w:pBdr>
        <w:spacing w:after="0"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Montaż  wyposażenia studzienek i podpór ślizgowych.</w:t>
      </w:r>
    </w:p>
    <w:p w:rsidR="00000000" w:rsidDel="00000000" w:rsidP="00000000" w:rsidRDefault="00000000" w:rsidRPr="00000000" w14:paraId="00000149">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Montaż wyposażenia studzienek i podpór ślizgowych należy wykonać zgodnie z rysunkami szczegółowymi wg Dokumentacji Projektowej. </w:t>
      </w:r>
    </w:p>
    <w:p w:rsidR="00000000" w:rsidDel="00000000" w:rsidP="00000000" w:rsidRDefault="00000000" w:rsidRPr="00000000" w14:paraId="0000014A">
      <w:pPr>
        <w:numPr>
          <w:ilvl w:val="0"/>
          <w:numId w:val="13"/>
        </w:numPr>
        <w:pBdr>
          <w:top w:space="0" w:sz="0" w:val="nil"/>
          <w:left w:space="0" w:sz="0" w:val="nil"/>
          <w:bottom w:space="0" w:sz="0" w:val="nil"/>
          <w:right w:space="0" w:sz="0" w:val="nil"/>
          <w:between w:space="0" w:sz="0" w:val="nil"/>
        </w:pBdr>
        <w:spacing w:after="0"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Izolacja.</w:t>
      </w:r>
    </w:p>
    <w:p w:rsidR="00000000" w:rsidDel="00000000" w:rsidP="00000000" w:rsidRDefault="00000000" w:rsidRPr="00000000" w14:paraId="0000014B">
      <w:pPr>
        <w:pBdr>
          <w:top w:space="0" w:sz="0" w:val="nil"/>
          <w:left w:space="0" w:sz="0" w:val="nil"/>
          <w:bottom w:space="0" w:sz="0" w:val="nil"/>
          <w:right w:space="0" w:sz="0" w:val="nil"/>
          <w:between w:space="0" w:sz="0" w:val="nil"/>
        </w:pBdr>
        <w:spacing w:after="0"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Zewnętrzne powierzchnie konstrukcji budowlanych należy zaizolować 2 x lepikiem asfaltowym na gorąco na uprzednio zagruntowanej powierzchni roztworem asfaltowym. Płyty przykrywające, prefabrykowane zabezpieczyć dwoma warstwami papy klejonej do podłoża lepikiem asfaltowym na gorąco z wywinięciem 50 cm na ściany. Powierzchnie izolowane powinny być równe, czyste, odtłuszczone i odpylone. Wypukłości i wgłębienia na powierzchni podkładu nie powinny być większe niż 2 mm. Pęknięcia na powierzchni podkładu o szerokości większej niż 2 mm należy zaszpachlować kitem asfaltowym.</w:t>
      </w:r>
    </w:p>
    <w:p w:rsidR="00000000" w:rsidDel="00000000" w:rsidP="00000000" w:rsidRDefault="00000000" w:rsidRPr="00000000" w14:paraId="0000014C">
      <w:pPr>
        <w:pBdr>
          <w:top w:space="0" w:sz="0" w:val="nil"/>
          <w:left w:space="0" w:sz="0" w:val="nil"/>
          <w:bottom w:space="0" w:sz="0" w:val="nil"/>
          <w:right w:space="0" w:sz="0" w:val="nil"/>
          <w:between w:space="0" w:sz="0" w:val="nil"/>
        </w:pBdr>
        <w:spacing w:after="0"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Izolacje należy układać w czasie bezdeszczowej  pogody przy temperaturze otoczenia nie niższej niż 5</w:t>
      </w:r>
      <w:r w:rsidDel="00000000" w:rsidR="00000000" w:rsidRPr="00000000">
        <w:rPr>
          <w:rFonts w:ascii="Calibri" w:cs="Calibri" w:eastAsia="Calibri" w:hAnsi="Calibri"/>
          <w:color w:val="000000"/>
          <w:sz w:val="22"/>
          <w:szCs w:val="22"/>
          <w:vertAlign w:val="superscript"/>
          <w:rtl w:val="0"/>
        </w:rPr>
        <w:t xml:space="preserve">o</w:t>
      </w:r>
      <w:r w:rsidDel="00000000" w:rsidR="00000000" w:rsidRPr="00000000">
        <w:rPr>
          <w:rFonts w:ascii="Calibri" w:cs="Calibri" w:eastAsia="Calibri" w:hAnsi="Calibri"/>
          <w:color w:val="000000"/>
          <w:sz w:val="22"/>
          <w:szCs w:val="22"/>
          <w:rtl w:val="0"/>
        </w:rPr>
        <w:t xml:space="preserve"> C.</w:t>
      </w:r>
    </w:p>
    <w:p w:rsidR="00000000" w:rsidDel="00000000" w:rsidP="00000000" w:rsidRDefault="00000000" w:rsidRPr="00000000" w14:paraId="0000014D">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Izolacja powinna stanowić szczelną, jednolitą powłokę, trwale przylegającą do powierzchni. </w:t>
      </w:r>
    </w:p>
    <w:p w:rsidR="00000000" w:rsidDel="00000000" w:rsidP="00000000" w:rsidRDefault="00000000" w:rsidRPr="00000000" w14:paraId="0000014E">
      <w:pPr>
        <w:numPr>
          <w:ilvl w:val="0"/>
          <w:numId w:val="13"/>
        </w:numPr>
        <w:pBdr>
          <w:top w:space="0" w:sz="0" w:val="nil"/>
          <w:left w:space="0" w:sz="0" w:val="nil"/>
          <w:bottom w:space="0" w:sz="0" w:val="nil"/>
          <w:right w:space="0" w:sz="0" w:val="nil"/>
          <w:between w:space="0" w:sz="0" w:val="nil"/>
        </w:pBdr>
        <w:spacing w:after="0"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Zabezpieczenie antykorozyjne konstrukcji stalowych.</w:t>
      </w:r>
    </w:p>
    <w:p w:rsidR="00000000" w:rsidDel="00000000" w:rsidP="00000000" w:rsidRDefault="00000000" w:rsidRPr="00000000" w14:paraId="0000014F">
      <w:pPr>
        <w:pBdr>
          <w:top w:space="0" w:sz="0" w:val="nil"/>
          <w:left w:space="0" w:sz="0" w:val="nil"/>
          <w:bottom w:space="0" w:sz="0" w:val="nil"/>
          <w:right w:space="0" w:sz="0" w:val="nil"/>
          <w:between w:space="0" w:sz="0" w:val="nil"/>
        </w:pBdr>
        <w:spacing w:after="0"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Konstrukcje stalowe należy zabezpieczyć wg instrukcji ITB nr 191 z 1976 roku. Wymagany    stopień czystości I. </w:t>
      </w:r>
    </w:p>
    <w:p w:rsidR="00000000" w:rsidDel="00000000" w:rsidP="00000000" w:rsidRDefault="00000000" w:rsidRPr="00000000" w14:paraId="00000150">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Zestaw malarski  -  dwukrotne  malowanie farba krzemianowo-cynkową samoutwardzalną. </w:t>
      </w:r>
    </w:p>
    <w:p w:rsidR="00000000" w:rsidDel="00000000" w:rsidP="00000000" w:rsidRDefault="00000000" w:rsidRPr="00000000" w14:paraId="00000151">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bookmarkStart w:colFirst="0" w:colLast="0" w:name="_heading=h.ihv636" w:id="36"/>
      <w:bookmarkEnd w:id="36"/>
      <w:r w:rsidDel="00000000" w:rsidR="00000000" w:rsidRPr="00000000">
        <w:rPr>
          <w:rtl w:val="0"/>
        </w:rPr>
      </w:r>
    </w:p>
    <w:p w:rsidR="00000000" w:rsidDel="00000000" w:rsidP="00000000" w:rsidRDefault="00000000" w:rsidRPr="00000000" w14:paraId="00000152">
      <w:pPr>
        <w:keepNext w:val="1"/>
        <w:numPr>
          <w:ilvl w:val="2"/>
          <w:numId w:val="22"/>
        </w:numPr>
        <w:pBdr>
          <w:top w:space="0" w:sz="0" w:val="nil"/>
          <w:left w:space="0" w:sz="0" w:val="nil"/>
          <w:bottom w:space="0" w:sz="0" w:val="nil"/>
          <w:right w:space="0" w:sz="0" w:val="nil"/>
          <w:between w:space="0" w:sz="0" w:val="nil"/>
        </w:pBdr>
        <w:spacing w:line="240" w:lineRule="auto"/>
        <w:ind w:left="0" w:hanging="2"/>
        <w:jc w:val="left"/>
        <w:rPr>
          <w:rFonts w:ascii="Calibri" w:cs="Calibri" w:eastAsia="Calibri" w:hAnsi="Calibri"/>
          <w:b w:val="1"/>
          <w:bCs w:val="1"/>
          <w:color w:val="000000"/>
          <w:sz w:val="22"/>
          <w:szCs w:val="22"/>
        </w:rPr>
      </w:pPr>
      <w:r w:rsidDel="00000000" w:rsidR="00000000" w:rsidRPr="00000000">
        <w:rPr>
          <w:rFonts w:ascii="Calibri" w:cs="Calibri" w:eastAsia="Calibri" w:hAnsi="Calibri"/>
          <w:b w:val="1"/>
          <w:bCs w:val="1"/>
          <w:color w:val="000000"/>
          <w:sz w:val="22"/>
          <w:szCs w:val="22"/>
          <w:rtl w:val="0"/>
        </w:rPr>
        <w:t xml:space="preserve">Zabezpieczenie infrastruktury podziemnej</w:t>
      </w:r>
    </w:p>
    <w:p w:rsidR="00000000" w:rsidDel="00000000" w:rsidP="00000000" w:rsidRDefault="00000000" w:rsidRPr="00000000" w14:paraId="00000153">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Roboty, których dotyczy Specyfikacja obejmują wszystkie czynności umożliwiające i mające na celu zabezpieczenie linii elektroenergetycznych kablowych niskiego, średniego napięcia oraz oświetlenia ulicznego.</w:t>
      </w:r>
    </w:p>
    <w:p w:rsidR="00000000" w:rsidDel="00000000" w:rsidP="00000000" w:rsidRDefault="00000000" w:rsidRPr="00000000" w14:paraId="00000154">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W zakres tych robót wchodzą:</w:t>
      </w:r>
    </w:p>
    <w:p w:rsidR="00000000" w:rsidDel="00000000" w:rsidP="00000000" w:rsidRDefault="00000000" w:rsidRPr="00000000" w14:paraId="00000155">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 odkopanie istniejących kabli łącznie z przekopami próbnymi</w:t>
      </w:r>
    </w:p>
    <w:p w:rsidR="00000000" w:rsidDel="00000000" w:rsidP="00000000" w:rsidRDefault="00000000" w:rsidRPr="00000000" w14:paraId="00000156">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 zlokalizowanie i rozpoznanie kabli pod względem napięcia znamionowego</w:t>
      </w:r>
    </w:p>
    <w:p w:rsidR="00000000" w:rsidDel="00000000" w:rsidP="00000000" w:rsidRDefault="00000000" w:rsidRPr="00000000" w14:paraId="00000157">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 założenia na kable rur ochronnych w miejscach skrzyżowań </w:t>
      </w:r>
    </w:p>
    <w:p w:rsidR="00000000" w:rsidDel="00000000" w:rsidP="00000000" w:rsidRDefault="00000000" w:rsidRPr="00000000" w14:paraId="00000158">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 wykonanie konstrukcji wsporczych nad wykopem</w:t>
      </w:r>
    </w:p>
    <w:p w:rsidR="00000000" w:rsidDel="00000000" w:rsidP="00000000" w:rsidRDefault="00000000" w:rsidRPr="00000000" w14:paraId="00000159">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 podwiązanie osłoniętych kabli do konstrukcji wsporczych</w:t>
      </w:r>
    </w:p>
    <w:p w:rsidR="00000000" w:rsidDel="00000000" w:rsidP="00000000" w:rsidRDefault="00000000" w:rsidRPr="00000000" w14:paraId="0000015A">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 po wykonaniu sieci cieplnej pod kablami – demontaż konstrukcji wsporczych</w:t>
      </w:r>
    </w:p>
    <w:p w:rsidR="00000000" w:rsidDel="00000000" w:rsidP="00000000" w:rsidRDefault="00000000" w:rsidRPr="00000000" w14:paraId="0000015B">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 wykonanie wykopu dla nowych kabli oświetleniowych</w:t>
      </w:r>
    </w:p>
    <w:p w:rsidR="00000000" w:rsidDel="00000000" w:rsidP="00000000" w:rsidRDefault="00000000" w:rsidRPr="00000000" w14:paraId="0000015C">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 wyrównanie dna wykopu</w:t>
      </w:r>
    </w:p>
    <w:p w:rsidR="00000000" w:rsidDel="00000000" w:rsidP="00000000" w:rsidRDefault="00000000" w:rsidRPr="00000000" w14:paraId="0000015D">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 nasypanie podsypki z piasku o grubości 10cm</w:t>
      </w:r>
    </w:p>
    <w:p w:rsidR="00000000" w:rsidDel="00000000" w:rsidP="00000000" w:rsidRDefault="00000000" w:rsidRPr="00000000" w14:paraId="0000015E">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 ułożenie rur ochronnych</w:t>
      </w:r>
    </w:p>
    <w:p w:rsidR="00000000" w:rsidDel="00000000" w:rsidP="00000000" w:rsidRDefault="00000000" w:rsidRPr="00000000" w14:paraId="0000015F">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 ułożenie kabli w wykopie, w rurach i oznakowanie folią</w:t>
      </w:r>
    </w:p>
    <w:p w:rsidR="00000000" w:rsidDel="00000000" w:rsidP="00000000" w:rsidRDefault="00000000" w:rsidRPr="00000000" w14:paraId="00000160">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 połączenia mufowe</w:t>
      </w:r>
    </w:p>
    <w:p w:rsidR="00000000" w:rsidDel="00000000" w:rsidP="00000000" w:rsidRDefault="00000000" w:rsidRPr="00000000" w14:paraId="00000161">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 nasypanie drugiej warstwy podsypki o grubości 10cm</w:t>
      </w:r>
    </w:p>
    <w:p w:rsidR="00000000" w:rsidDel="00000000" w:rsidP="00000000" w:rsidRDefault="00000000" w:rsidRPr="00000000" w14:paraId="00000162">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 zasypanie kabli</w:t>
      </w:r>
    </w:p>
    <w:p w:rsidR="00000000" w:rsidDel="00000000" w:rsidP="00000000" w:rsidRDefault="00000000" w:rsidRPr="00000000" w14:paraId="00000163">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bookmarkStart w:colFirst="0" w:colLast="0" w:name="_heading=h.32hioqz" w:id="37"/>
      <w:bookmarkEnd w:id="37"/>
      <w:r w:rsidDel="00000000" w:rsidR="00000000" w:rsidRPr="00000000">
        <w:rPr>
          <w:rtl w:val="0"/>
        </w:rPr>
      </w:r>
    </w:p>
    <w:p w:rsidR="00000000" w:rsidDel="00000000" w:rsidP="00000000" w:rsidRDefault="00000000" w:rsidRPr="00000000" w14:paraId="00000164">
      <w:pPr>
        <w:keepNext w:val="1"/>
        <w:numPr>
          <w:ilvl w:val="2"/>
          <w:numId w:val="22"/>
        </w:numPr>
        <w:pBdr>
          <w:top w:space="0" w:sz="0" w:val="nil"/>
          <w:left w:space="0" w:sz="0" w:val="nil"/>
          <w:bottom w:space="0" w:sz="0" w:val="nil"/>
          <w:right w:space="0" w:sz="0" w:val="nil"/>
          <w:between w:space="0" w:sz="0" w:val="nil"/>
        </w:pBdr>
        <w:spacing w:line="240" w:lineRule="auto"/>
        <w:ind w:left="0" w:hanging="2"/>
        <w:jc w:val="left"/>
        <w:rPr>
          <w:rFonts w:ascii="Calibri" w:cs="Calibri" w:eastAsia="Calibri" w:hAnsi="Calibri"/>
          <w:b w:val="1"/>
          <w:bCs w:val="1"/>
          <w:color w:val="000000"/>
          <w:sz w:val="22"/>
          <w:szCs w:val="22"/>
        </w:rPr>
      </w:pPr>
      <w:r w:rsidDel="00000000" w:rsidR="00000000" w:rsidRPr="00000000">
        <w:rPr>
          <w:rFonts w:ascii="Calibri" w:cs="Calibri" w:eastAsia="Calibri" w:hAnsi="Calibri"/>
          <w:b w:val="1"/>
          <w:bCs w:val="1"/>
          <w:color w:val="000000"/>
          <w:sz w:val="22"/>
          <w:szCs w:val="22"/>
          <w:rtl w:val="0"/>
        </w:rPr>
        <w:t xml:space="preserve">Materiały </w:t>
      </w:r>
    </w:p>
    <w:p w:rsidR="00000000" w:rsidDel="00000000" w:rsidP="00000000" w:rsidRDefault="00000000" w:rsidRPr="00000000" w14:paraId="00000165">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i w:val="1"/>
          <w:iCs w:val="1"/>
          <w:color w:val="000000"/>
          <w:sz w:val="22"/>
          <w:szCs w:val="22"/>
          <w:rtl w:val="0"/>
        </w:rPr>
        <w:t xml:space="preserve">Folia ostrzegawcza</w:t>
      </w:r>
      <w:r w:rsidDel="00000000" w:rsidR="00000000" w:rsidRPr="00000000">
        <w:rPr>
          <w:rFonts w:ascii="Calibri" w:cs="Calibri" w:eastAsia="Calibri" w:hAnsi="Calibri"/>
          <w:color w:val="000000"/>
          <w:sz w:val="22"/>
          <w:szCs w:val="22"/>
          <w:rtl w:val="0"/>
        </w:rPr>
        <w:t xml:space="preserve"> -  należy stosować w celu ostrzeżenia przed znajdującymi się poniżej kablami. Folia ostrzegawcza powinna być folią kalandrowaną z uplastycznionego PCW o grubości 0,5÷0,6mm. W zależności od napięcia znamionowego linii kablowych należy używać folii w następujących kolorach:</w:t>
      </w:r>
    </w:p>
    <w:p w:rsidR="00000000" w:rsidDel="00000000" w:rsidP="00000000" w:rsidRDefault="00000000" w:rsidRPr="00000000" w14:paraId="00000166">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      </w:t>
        <w:tab/>
        <w:t xml:space="preserve">- dla napięcia znamionowego 1kV – niebieską</w:t>
      </w:r>
    </w:p>
    <w:p w:rsidR="00000000" w:rsidDel="00000000" w:rsidP="00000000" w:rsidRDefault="00000000" w:rsidRPr="00000000" w14:paraId="00000167">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         </w:t>
        <w:tab/>
        <w:t xml:space="preserve">- dla napięcia znamionowego 1kV÷20kV – czerwoną.</w:t>
      </w:r>
    </w:p>
    <w:p w:rsidR="00000000" w:rsidDel="00000000" w:rsidP="00000000" w:rsidRDefault="00000000" w:rsidRPr="00000000" w14:paraId="00000168">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i w:val="1"/>
          <w:iCs w:val="1"/>
          <w:color w:val="000000"/>
          <w:sz w:val="22"/>
          <w:szCs w:val="22"/>
          <w:rtl w:val="0"/>
        </w:rPr>
        <w:t xml:space="preserve">Rury i przepusty kablowe</w:t>
      </w:r>
      <w:r w:rsidDel="00000000" w:rsidR="00000000" w:rsidRPr="00000000">
        <w:rPr>
          <w:rFonts w:ascii="Calibri" w:cs="Calibri" w:eastAsia="Calibri" w:hAnsi="Calibri"/>
          <w:color w:val="000000"/>
          <w:sz w:val="22"/>
          <w:szCs w:val="22"/>
          <w:rtl w:val="0"/>
        </w:rPr>
        <w:t xml:space="preserve"> -  powinny być wykonane z materiałów trudnopalnych, wytrzymałych mechanicznie, chemicznie i odpornych na działanie łuku elektrycznego. Rury na przepusty powinny być dostatecznie wytrzymałe na działanie sił ściskających, z jakimi należy się liczyć w miejscu ich ułożenia. Wnętrza ścianek powinny być gładkie lub powleczone warstwą wygładzającą ich powierzchnię dla ułatwienia przesuwania się kabli. Na przepusty kablowe należy stosować rury stalowe wg PN-H-74219 lub równoważna i rury z tworzyw sztucznych wg PN-C-89205 lub równoważna. </w:t>
      </w:r>
    </w:p>
    <w:p w:rsidR="00000000" w:rsidDel="00000000" w:rsidP="00000000" w:rsidRDefault="00000000" w:rsidRPr="00000000" w14:paraId="00000169">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bookmarkStart w:colFirst="0" w:colLast="0" w:name="_heading=h.1hmsyys" w:id="38"/>
      <w:bookmarkEnd w:id="38"/>
      <w:r w:rsidDel="00000000" w:rsidR="00000000" w:rsidRPr="00000000">
        <w:rPr>
          <w:rtl w:val="0"/>
        </w:rPr>
      </w:r>
    </w:p>
    <w:p w:rsidR="00000000" w:rsidDel="00000000" w:rsidP="00000000" w:rsidRDefault="00000000" w:rsidRPr="00000000" w14:paraId="0000016A">
      <w:pPr>
        <w:keepNext w:val="1"/>
        <w:numPr>
          <w:ilvl w:val="2"/>
          <w:numId w:val="22"/>
        </w:numPr>
        <w:pBdr>
          <w:top w:space="0" w:sz="0" w:val="nil"/>
          <w:left w:space="0" w:sz="0" w:val="nil"/>
          <w:bottom w:space="0" w:sz="0" w:val="nil"/>
          <w:right w:space="0" w:sz="0" w:val="nil"/>
          <w:between w:space="0" w:sz="0" w:val="nil"/>
        </w:pBdr>
        <w:spacing w:line="240" w:lineRule="auto"/>
        <w:ind w:left="0" w:hanging="2"/>
        <w:jc w:val="left"/>
        <w:rPr>
          <w:rFonts w:ascii="Calibri" w:cs="Calibri" w:eastAsia="Calibri" w:hAnsi="Calibri"/>
          <w:b w:val="1"/>
          <w:bCs w:val="1"/>
          <w:color w:val="000000"/>
          <w:sz w:val="22"/>
          <w:szCs w:val="22"/>
        </w:rPr>
      </w:pPr>
      <w:r w:rsidDel="00000000" w:rsidR="00000000" w:rsidRPr="00000000">
        <w:rPr>
          <w:rFonts w:ascii="Calibri" w:cs="Calibri" w:eastAsia="Calibri" w:hAnsi="Calibri"/>
          <w:b w:val="1"/>
          <w:bCs w:val="1"/>
          <w:color w:val="000000"/>
          <w:sz w:val="22"/>
          <w:szCs w:val="22"/>
          <w:rtl w:val="0"/>
        </w:rPr>
        <w:t xml:space="preserve">Wykonanie robót kablowych</w:t>
      </w:r>
    </w:p>
    <w:p w:rsidR="00000000" w:rsidDel="00000000" w:rsidP="00000000" w:rsidRDefault="00000000" w:rsidRPr="00000000" w14:paraId="0000016B">
      <w:pPr>
        <w:numPr>
          <w:ilvl w:val="0"/>
          <w:numId w:val="14"/>
        </w:numPr>
        <w:pBdr>
          <w:top w:space="0" w:sz="0" w:val="nil"/>
          <w:left w:space="0" w:sz="0" w:val="nil"/>
          <w:bottom w:space="0" w:sz="0" w:val="nil"/>
          <w:right w:space="0" w:sz="0" w:val="nil"/>
          <w:between w:space="0" w:sz="0" w:val="nil"/>
        </w:pBdr>
        <w:spacing w:after="0"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Wykonywanie rowów kablowych</w:t>
      </w:r>
    </w:p>
    <w:p w:rsidR="00000000" w:rsidDel="00000000" w:rsidP="00000000" w:rsidRDefault="00000000" w:rsidRPr="00000000" w14:paraId="0000016C">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Rowy kablowe powinny być zgodne z wymaganiami podanymi w Dokumentacji Projektowej. Ich szerokość powinna wynosić nie mniej niż 0,4m, a minimalna głębokość powinna wynosić nie mniej niż:</w:t>
      </w:r>
    </w:p>
    <w:p w:rsidR="00000000" w:rsidDel="00000000" w:rsidP="00000000" w:rsidRDefault="00000000" w:rsidRPr="00000000" w14:paraId="0000016D">
      <w:pPr>
        <w:numPr>
          <w:ilvl w:val="0"/>
          <w:numId w:val="8"/>
        </w:numPr>
        <w:pBdr>
          <w:top w:space="0" w:sz="0" w:val="nil"/>
          <w:left w:space="0" w:sz="0" w:val="nil"/>
          <w:bottom w:space="0" w:sz="0" w:val="nil"/>
          <w:right w:space="0" w:sz="0" w:val="nil"/>
          <w:between w:space="0" w:sz="0" w:val="nil"/>
        </w:pBdr>
        <w:spacing w:after="0"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0,6m dla kabli oświetlenia ulicznego</w:t>
      </w:r>
    </w:p>
    <w:p w:rsidR="00000000" w:rsidDel="00000000" w:rsidP="00000000" w:rsidRDefault="00000000" w:rsidRPr="00000000" w14:paraId="0000016E">
      <w:pPr>
        <w:numPr>
          <w:ilvl w:val="0"/>
          <w:numId w:val="8"/>
        </w:numPr>
        <w:pBdr>
          <w:top w:space="0" w:sz="0" w:val="nil"/>
          <w:left w:space="0" w:sz="0" w:val="nil"/>
          <w:bottom w:space="0" w:sz="0" w:val="nil"/>
          <w:right w:space="0" w:sz="0" w:val="nil"/>
          <w:between w:space="0" w:sz="0" w:val="nil"/>
        </w:pBdr>
        <w:spacing w:after="0"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0,8m dla kabli o napięciu znamionowym do 1kV</w:t>
      </w:r>
    </w:p>
    <w:p w:rsidR="00000000" w:rsidDel="00000000" w:rsidP="00000000" w:rsidRDefault="00000000" w:rsidRPr="00000000" w14:paraId="0000016F">
      <w:pPr>
        <w:numPr>
          <w:ilvl w:val="0"/>
          <w:numId w:val="8"/>
        </w:numPr>
        <w:pBdr>
          <w:top w:space="0" w:sz="0" w:val="nil"/>
          <w:left w:space="0" w:sz="0" w:val="nil"/>
          <w:bottom w:space="0" w:sz="0" w:val="nil"/>
          <w:right w:space="0" w:sz="0" w:val="nil"/>
          <w:between w:space="0" w:sz="0" w:val="nil"/>
        </w:pBdr>
        <w:spacing w:after="0"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0,9m dla kabli o napięciu znamionowym powyżej 1kV i kabli do 1kV na terenach użytków rolnych </w:t>
      </w:r>
    </w:p>
    <w:p w:rsidR="00000000" w:rsidDel="00000000" w:rsidP="00000000" w:rsidRDefault="00000000" w:rsidRPr="00000000" w14:paraId="00000170">
      <w:pPr>
        <w:numPr>
          <w:ilvl w:val="0"/>
          <w:numId w:val="8"/>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1,0m dla kabli o napięciu znamionowym do 20kV na terenach użytków rolnych.</w:t>
      </w:r>
    </w:p>
    <w:p w:rsidR="00000000" w:rsidDel="00000000" w:rsidP="00000000" w:rsidRDefault="00000000" w:rsidRPr="00000000" w14:paraId="00000171">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Wykopy pod rury ochronne kabli powinny spełniać wymagania:</w:t>
      </w:r>
    </w:p>
    <w:p w:rsidR="00000000" w:rsidDel="00000000" w:rsidP="00000000" w:rsidRDefault="00000000" w:rsidRPr="00000000" w14:paraId="00000172">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 szerokość rowu zależna jest od ilości i średnicy układanych rur i powinna być zgodna z Dokumentacją Projektową,</w:t>
      </w:r>
    </w:p>
    <w:p w:rsidR="00000000" w:rsidDel="00000000" w:rsidP="00000000" w:rsidRDefault="00000000" w:rsidRPr="00000000" w14:paraId="00000173">
      <w:pPr>
        <w:numPr>
          <w:ilvl w:val="0"/>
          <w:numId w:val="14"/>
        </w:numPr>
        <w:pBdr>
          <w:top w:space="0" w:sz="0" w:val="nil"/>
          <w:left w:space="0" w:sz="0" w:val="nil"/>
          <w:bottom w:space="0" w:sz="0" w:val="nil"/>
          <w:right w:space="0" w:sz="0" w:val="nil"/>
          <w:between w:space="0" w:sz="0" w:val="nil"/>
        </w:pBdr>
        <w:spacing w:after="0"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Układanie kabla w rowie kablowym</w:t>
      </w:r>
    </w:p>
    <w:p w:rsidR="00000000" w:rsidDel="00000000" w:rsidP="00000000" w:rsidRDefault="00000000" w:rsidRPr="00000000" w14:paraId="00000174">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Kable należy układać na dnie rowów kablowych, jeżeli grunt jest piaszczysty lub na warstwie z piasku grubości minimum 10cm. Ułożone kable należy przykryć warstwą piasku grubości 10cm a następnie warstwą rodzimego gruntu o grubości co najmniej 15cm, a następnie przykryć folią z tworzywa sztucznego. Odległość folii od kabla powinna wynosić co najmniej 25cm. Każdą 20cm warstwę gruntu należy zagęszczać ubijając ją zagęszczarką wibracyjną. Kable należy układać niezwłocznie po wykonaniu przewodu wodociągowego, doprowadzenie do szybkiego odbioru i możliwie szybkie zasypanie.</w:t>
      </w:r>
    </w:p>
    <w:p w:rsidR="00000000" w:rsidDel="00000000" w:rsidP="00000000" w:rsidRDefault="00000000" w:rsidRPr="00000000" w14:paraId="00000175">
      <w:pPr>
        <w:numPr>
          <w:ilvl w:val="0"/>
          <w:numId w:val="14"/>
        </w:numPr>
        <w:pBdr>
          <w:top w:space="0" w:sz="0" w:val="nil"/>
          <w:left w:space="0" w:sz="0" w:val="nil"/>
          <w:bottom w:space="0" w:sz="0" w:val="nil"/>
          <w:right w:space="0" w:sz="0" w:val="nil"/>
          <w:between w:space="0" w:sz="0" w:val="nil"/>
        </w:pBdr>
        <w:spacing w:after="0"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Temperatura otoczenia i kabla</w:t>
      </w:r>
    </w:p>
    <w:p w:rsidR="00000000" w:rsidDel="00000000" w:rsidP="00000000" w:rsidRDefault="00000000" w:rsidRPr="00000000" w14:paraId="00000176">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Temperatura otoczenia i kabla przy układaniu nie powinna być niższa niż:</w:t>
      </w:r>
    </w:p>
    <w:p w:rsidR="00000000" w:rsidDel="00000000" w:rsidP="00000000" w:rsidRDefault="00000000" w:rsidRPr="00000000" w14:paraId="00000177">
      <w:pPr>
        <w:numPr>
          <w:ilvl w:val="0"/>
          <w:numId w:val="21"/>
        </w:numPr>
        <w:pBdr>
          <w:top w:space="0" w:sz="0" w:val="nil"/>
          <w:left w:space="0" w:sz="0" w:val="nil"/>
          <w:bottom w:space="0" w:sz="0" w:val="nil"/>
          <w:right w:space="0" w:sz="0" w:val="nil"/>
          <w:between w:space="0" w:sz="0" w:val="nil"/>
        </w:pBdr>
        <w:spacing w:after="0"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0ºC – dla kabli w izolacji z tworzyw sztucznych</w:t>
      </w:r>
    </w:p>
    <w:p w:rsidR="00000000" w:rsidDel="00000000" w:rsidP="00000000" w:rsidRDefault="00000000" w:rsidRPr="00000000" w14:paraId="00000178">
      <w:pPr>
        <w:numPr>
          <w:ilvl w:val="0"/>
          <w:numId w:val="21"/>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4ºC – dla kabli w izolacji papierowej i o powłoce metalowej</w:t>
      </w:r>
    </w:p>
    <w:p w:rsidR="00000000" w:rsidDel="00000000" w:rsidP="00000000" w:rsidRDefault="00000000" w:rsidRPr="00000000" w14:paraId="00000179">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Kabli podczas układania nie należy sztucznie podgrzewać.</w:t>
      </w:r>
    </w:p>
    <w:p w:rsidR="00000000" w:rsidDel="00000000" w:rsidP="00000000" w:rsidRDefault="00000000" w:rsidRPr="00000000" w14:paraId="0000017A">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Wzrost temperatury otoczenia ułożonego kabla, spowodowany przez sąsiednie źródła ciepła, nie powinien przekraczać 5ºC.</w:t>
      </w:r>
    </w:p>
    <w:p w:rsidR="00000000" w:rsidDel="00000000" w:rsidP="00000000" w:rsidRDefault="00000000" w:rsidRPr="00000000" w14:paraId="0000017B">
      <w:pPr>
        <w:numPr>
          <w:ilvl w:val="0"/>
          <w:numId w:val="14"/>
        </w:numPr>
        <w:pBdr>
          <w:top w:space="0" w:sz="0" w:val="nil"/>
          <w:left w:space="0" w:sz="0" w:val="nil"/>
          <w:bottom w:space="0" w:sz="0" w:val="nil"/>
          <w:right w:space="0" w:sz="0" w:val="nil"/>
          <w:between w:space="0" w:sz="0" w:val="nil"/>
        </w:pBdr>
        <w:spacing w:after="0"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Zginanie kabli</w:t>
      </w:r>
    </w:p>
    <w:p w:rsidR="00000000" w:rsidDel="00000000" w:rsidP="00000000" w:rsidRDefault="00000000" w:rsidRPr="00000000" w14:paraId="0000017C">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Przy układaniu kable można zginać tylko w przypadkach koniecznych, przy czym promień gięcia powinien być możliwie duży i nie mniejszy niż:</w:t>
      </w:r>
    </w:p>
    <w:p w:rsidR="00000000" w:rsidDel="00000000" w:rsidP="00000000" w:rsidRDefault="00000000" w:rsidRPr="00000000" w14:paraId="0000017D">
      <w:pPr>
        <w:numPr>
          <w:ilvl w:val="0"/>
          <w:numId w:val="34"/>
        </w:numPr>
        <w:pBdr>
          <w:top w:space="0" w:sz="0" w:val="nil"/>
          <w:left w:space="0" w:sz="0" w:val="nil"/>
          <w:bottom w:space="0" w:sz="0" w:val="nil"/>
          <w:right w:space="0" w:sz="0" w:val="nil"/>
          <w:between w:space="0" w:sz="0" w:val="nil"/>
        </w:pBdr>
        <w:spacing w:after="0"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25-krotna zewnętrzna średnica kabla w przypadku kabli olejowych</w:t>
      </w:r>
    </w:p>
    <w:p w:rsidR="00000000" w:rsidDel="00000000" w:rsidP="00000000" w:rsidRDefault="00000000" w:rsidRPr="00000000" w14:paraId="0000017E">
      <w:pPr>
        <w:numPr>
          <w:ilvl w:val="0"/>
          <w:numId w:val="34"/>
        </w:numPr>
        <w:pBdr>
          <w:top w:space="0" w:sz="0" w:val="nil"/>
          <w:left w:space="0" w:sz="0" w:val="nil"/>
          <w:bottom w:space="0" w:sz="0" w:val="nil"/>
          <w:right w:space="0" w:sz="0" w:val="nil"/>
          <w:between w:space="0" w:sz="0" w:val="nil"/>
        </w:pBdr>
        <w:spacing w:after="0"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20-krotna zewnętrzna średnica kabla w przypadku kabli o powłoce polwinitowej</w:t>
      </w:r>
    </w:p>
    <w:p w:rsidR="00000000" w:rsidDel="00000000" w:rsidP="00000000" w:rsidRDefault="00000000" w:rsidRPr="00000000" w14:paraId="0000017F">
      <w:pPr>
        <w:numPr>
          <w:ilvl w:val="0"/>
          <w:numId w:val="34"/>
        </w:numPr>
        <w:pBdr>
          <w:top w:space="0" w:sz="0" w:val="nil"/>
          <w:left w:space="0" w:sz="0" w:val="nil"/>
          <w:bottom w:space="0" w:sz="0" w:val="nil"/>
          <w:right w:space="0" w:sz="0" w:val="nil"/>
          <w:between w:space="0" w:sz="0" w:val="nil"/>
        </w:pBdr>
        <w:spacing w:after="0"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15-krotna zewnętrzna średnica kabla w przypadku kabli wielożyłowych skręcanych z kabli  jednożyłowych o liczbie nieprzekraczającej 4.</w:t>
      </w:r>
    </w:p>
    <w:p w:rsidR="00000000" w:rsidDel="00000000" w:rsidP="00000000" w:rsidRDefault="00000000" w:rsidRPr="00000000" w14:paraId="00000180">
      <w:pPr>
        <w:numPr>
          <w:ilvl w:val="0"/>
          <w:numId w:val="14"/>
        </w:numPr>
        <w:pBdr>
          <w:top w:space="0" w:sz="0" w:val="nil"/>
          <w:left w:space="0" w:sz="0" w:val="nil"/>
          <w:bottom w:space="0" w:sz="0" w:val="nil"/>
          <w:right w:space="0" w:sz="0" w:val="nil"/>
          <w:between w:space="0" w:sz="0" w:val="nil"/>
        </w:pBdr>
        <w:spacing w:after="0"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Oznaczanie linii kablowych</w:t>
      </w:r>
    </w:p>
    <w:p w:rsidR="00000000" w:rsidDel="00000000" w:rsidP="00000000" w:rsidRDefault="00000000" w:rsidRPr="00000000" w14:paraId="00000181">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Kable ułożone w ziemi powinny być zaopatrzone na całej długości w trwałe oznaczniki.</w:t>
      </w:r>
    </w:p>
    <w:p w:rsidR="00000000" w:rsidDel="00000000" w:rsidP="00000000" w:rsidRDefault="00000000" w:rsidRPr="00000000" w14:paraId="00000182">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Oznaczniki powinny być rozmieszczone w odstępach nie większych niż 10m oraz przy mufach i w</w:t>
      </w:r>
      <w:r w:rsidDel="00000000" w:rsidR="00000000" w:rsidRPr="00000000">
        <w:rPr>
          <w:rFonts w:ascii="Calibri" w:cs="Calibri" w:eastAsia="Calibri" w:hAnsi="Calibri"/>
          <w:sz w:val="22"/>
          <w:szCs w:val="22"/>
          <w:rtl w:val="0"/>
        </w:rPr>
        <w:t xml:space="preserve"> </w:t>
      </w:r>
      <w:r w:rsidDel="00000000" w:rsidR="00000000" w:rsidRPr="00000000">
        <w:rPr>
          <w:rFonts w:ascii="Calibri" w:cs="Calibri" w:eastAsia="Calibri" w:hAnsi="Calibri"/>
          <w:color w:val="000000"/>
          <w:sz w:val="22"/>
          <w:szCs w:val="22"/>
          <w:rtl w:val="0"/>
        </w:rPr>
        <w:t xml:space="preserve">miejscach charakterystycznych. Na oznaczniku należy umieścić trwałe napisy zawierające co najmniej:</w:t>
      </w:r>
    </w:p>
    <w:p w:rsidR="00000000" w:rsidDel="00000000" w:rsidP="00000000" w:rsidRDefault="00000000" w:rsidRPr="00000000" w14:paraId="00000183">
      <w:pPr>
        <w:numPr>
          <w:ilvl w:val="0"/>
          <w:numId w:val="26"/>
        </w:numPr>
        <w:pBdr>
          <w:top w:space="0" w:sz="0" w:val="nil"/>
          <w:left w:space="0" w:sz="0" w:val="nil"/>
          <w:bottom w:space="0" w:sz="0" w:val="nil"/>
          <w:right w:space="0" w:sz="0" w:val="nil"/>
          <w:between w:space="0" w:sz="0" w:val="nil"/>
        </w:pBdr>
        <w:spacing w:after="0"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symbol i numer ewidencyjny kabla</w:t>
      </w:r>
    </w:p>
    <w:p w:rsidR="00000000" w:rsidDel="00000000" w:rsidP="00000000" w:rsidRDefault="00000000" w:rsidRPr="00000000" w14:paraId="00000184">
      <w:pPr>
        <w:numPr>
          <w:ilvl w:val="0"/>
          <w:numId w:val="26"/>
        </w:numPr>
        <w:pBdr>
          <w:top w:space="0" w:sz="0" w:val="nil"/>
          <w:left w:space="0" w:sz="0" w:val="nil"/>
          <w:bottom w:space="0" w:sz="0" w:val="nil"/>
          <w:right w:space="0" w:sz="0" w:val="nil"/>
          <w:between w:space="0" w:sz="0" w:val="nil"/>
        </w:pBdr>
        <w:spacing w:after="0"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typ kabla i napięcie znamionowe</w:t>
      </w:r>
    </w:p>
    <w:p w:rsidR="00000000" w:rsidDel="00000000" w:rsidP="00000000" w:rsidRDefault="00000000" w:rsidRPr="00000000" w14:paraId="00000185">
      <w:pPr>
        <w:numPr>
          <w:ilvl w:val="0"/>
          <w:numId w:val="26"/>
        </w:numPr>
        <w:pBdr>
          <w:top w:space="0" w:sz="0" w:val="nil"/>
          <w:left w:space="0" w:sz="0" w:val="nil"/>
          <w:bottom w:space="0" w:sz="0" w:val="nil"/>
          <w:right w:space="0" w:sz="0" w:val="nil"/>
          <w:between w:space="0" w:sz="0" w:val="nil"/>
        </w:pBdr>
        <w:spacing w:after="0"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znak użytkownika</w:t>
      </w:r>
    </w:p>
    <w:p w:rsidR="00000000" w:rsidDel="00000000" w:rsidP="00000000" w:rsidRDefault="00000000" w:rsidRPr="00000000" w14:paraId="00000186">
      <w:pPr>
        <w:numPr>
          <w:ilvl w:val="0"/>
          <w:numId w:val="26"/>
        </w:numPr>
        <w:pBdr>
          <w:top w:space="0" w:sz="0" w:val="nil"/>
          <w:left w:space="0" w:sz="0" w:val="nil"/>
          <w:bottom w:space="0" w:sz="0" w:val="nil"/>
          <w:right w:space="0" w:sz="0" w:val="nil"/>
          <w:between w:space="0" w:sz="0" w:val="nil"/>
        </w:pBdr>
        <w:spacing w:after="0"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rok ułożenia kabla.</w:t>
      </w:r>
    </w:p>
    <w:p w:rsidR="00000000" w:rsidDel="00000000" w:rsidP="00000000" w:rsidRDefault="00000000" w:rsidRPr="00000000" w14:paraId="00000187">
      <w:pPr>
        <w:numPr>
          <w:ilvl w:val="0"/>
          <w:numId w:val="14"/>
        </w:numPr>
        <w:pBdr>
          <w:top w:space="0" w:sz="0" w:val="nil"/>
          <w:left w:space="0" w:sz="0" w:val="nil"/>
          <w:bottom w:space="0" w:sz="0" w:val="nil"/>
          <w:right w:space="0" w:sz="0" w:val="nil"/>
          <w:between w:space="0" w:sz="0" w:val="nil"/>
        </w:pBdr>
        <w:spacing w:after="0"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Oznaczenie trasy</w:t>
      </w:r>
    </w:p>
    <w:p w:rsidR="00000000" w:rsidDel="00000000" w:rsidP="00000000" w:rsidRDefault="00000000" w:rsidRPr="00000000" w14:paraId="00000188">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Trasa kabli ułożonych w ziemi powinna być na całej długości i szerokości oznaczona folią z tworzywa sztucznego. Folia powinna mieć grubość co najmniej 0,5mm. Szerokość folii powinna być taka, aby przykrywała ułożone kable, lecz nie mniejsza niż 20cm. Krawędzie pasa folii powinny sięgać co najmniej do zewnętrznych krawędzi skrajnych kabli, a w przypadku, gdy szerokość rowu kablowego jest większa niż szerokość trasy ułożonych kabli, krawędzie pasa folii powinny wystawać poza krawędzie skrajnych kabli równomiernie po obu stronach.</w:t>
      </w:r>
    </w:p>
    <w:p w:rsidR="00000000" w:rsidDel="00000000" w:rsidP="00000000" w:rsidRDefault="00000000" w:rsidRPr="00000000" w14:paraId="00000189">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bookmarkStart w:colFirst="0" w:colLast="0" w:name="_heading=h.41mghml" w:id="39"/>
      <w:bookmarkEnd w:id="39"/>
      <w:r w:rsidDel="00000000" w:rsidR="00000000" w:rsidRPr="00000000">
        <w:rPr>
          <w:rtl w:val="0"/>
        </w:rPr>
      </w:r>
    </w:p>
    <w:p w:rsidR="00000000" w:rsidDel="00000000" w:rsidP="00000000" w:rsidRDefault="00000000" w:rsidRPr="00000000" w14:paraId="0000018A">
      <w:pPr>
        <w:keepNext w:val="1"/>
        <w:numPr>
          <w:ilvl w:val="2"/>
          <w:numId w:val="22"/>
        </w:numPr>
        <w:pBdr>
          <w:top w:space="0" w:sz="0" w:val="nil"/>
          <w:left w:space="0" w:sz="0" w:val="nil"/>
          <w:bottom w:space="0" w:sz="0" w:val="nil"/>
          <w:right w:space="0" w:sz="0" w:val="nil"/>
          <w:between w:space="0" w:sz="0" w:val="nil"/>
        </w:pBdr>
        <w:spacing w:line="240" w:lineRule="auto"/>
        <w:ind w:left="0" w:hanging="2"/>
        <w:jc w:val="left"/>
        <w:rPr>
          <w:rFonts w:ascii="Calibri" w:cs="Calibri" w:eastAsia="Calibri" w:hAnsi="Calibri"/>
          <w:b w:val="1"/>
          <w:bCs w:val="1"/>
          <w:color w:val="000000"/>
          <w:sz w:val="22"/>
          <w:szCs w:val="22"/>
        </w:rPr>
      </w:pPr>
      <w:r w:rsidDel="00000000" w:rsidR="00000000" w:rsidRPr="00000000">
        <w:rPr>
          <w:rFonts w:ascii="Calibri" w:cs="Calibri" w:eastAsia="Calibri" w:hAnsi="Calibri"/>
          <w:b w:val="1"/>
          <w:bCs w:val="1"/>
          <w:color w:val="000000"/>
          <w:sz w:val="22"/>
          <w:szCs w:val="22"/>
          <w:rtl w:val="0"/>
        </w:rPr>
        <w:t xml:space="preserve">Kontrola Jakości robót kablowych</w:t>
      </w:r>
    </w:p>
    <w:p w:rsidR="00000000" w:rsidDel="00000000" w:rsidP="00000000" w:rsidRDefault="00000000" w:rsidRPr="00000000" w14:paraId="0000018B">
      <w:pPr>
        <w:numPr>
          <w:ilvl w:val="0"/>
          <w:numId w:val="17"/>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i w:val="1"/>
          <w:iCs w:val="1"/>
          <w:color w:val="000000"/>
          <w:sz w:val="22"/>
          <w:szCs w:val="22"/>
          <w:rtl w:val="0"/>
        </w:rPr>
        <w:t xml:space="preserve">Wymagania ogólne</w:t>
      </w:r>
      <w:r w:rsidDel="00000000" w:rsidR="00000000" w:rsidRPr="00000000">
        <w:rPr>
          <w:rFonts w:ascii="Calibri" w:cs="Calibri" w:eastAsia="Calibri" w:hAnsi="Calibri"/>
          <w:color w:val="000000"/>
          <w:sz w:val="22"/>
          <w:szCs w:val="22"/>
          <w:rtl w:val="0"/>
        </w:rPr>
        <w:t xml:space="preserve"> – Wykonawca powinien zadbać, aby jakość materiałów, urządzeń i montażu była zgodna z Dokumentacją Projektową, niniejszą specyfikacją i poleceniami Inżyniera. Przed przystąpieniem do badania, Wykonawca powinien z co najmniej 7 dniowym wyprzedzeniem powiadomić Inżyniera o rodzaju i terminie badania. Po pozytywnym zakończeniu badań lub inspekcji, Wykonawca przedstawi Inżynierowi dwa egzemplarze świadectwa badań z jego wynikami.</w:t>
      </w:r>
    </w:p>
    <w:p w:rsidR="00000000" w:rsidDel="00000000" w:rsidP="00000000" w:rsidRDefault="00000000" w:rsidRPr="00000000" w14:paraId="0000018C">
      <w:pPr>
        <w:numPr>
          <w:ilvl w:val="0"/>
          <w:numId w:val="17"/>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i w:val="1"/>
          <w:iCs w:val="1"/>
          <w:color w:val="000000"/>
          <w:sz w:val="22"/>
          <w:szCs w:val="22"/>
          <w:rtl w:val="0"/>
        </w:rPr>
        <w:t xml:space="preserve">Badania w czasie wykonywania robót:</w:t>
      </w:r>
      <w:r w:rsidDel="00000000" w:rsidR="00000000" w:rsidRPr="00000000">
        <w:rPr>
          <w:rtl w:val="0"/>
        </w:rPr>
      </w:r>
    </w:p>
    <w:p w:rsidR="00000000" w:rsidDel="00000000" w:rsidP="00000000" w:rsidRDefault="00000000" w:rsidRPr="00000000" w14:paraId="0000018D">
      <w:pPr>
        <w:numPr>
          <w:ilvl w:val="0"/>
          <w:numId w:val="29"/>
        </w:numPr>
        <w:pBdr>
          <w:top w:space="0" w:sz="0" w:val="nil"/>
          <w:left w:space="0" w:sz="0" w:val="nil"/>
          <w:bottom w:space="0" w:sz="0" w:val="nil"/>
          <w:right w:space="0" w:sz="0" w:val="nil"/>
          <w:between w:space="0" w:sz="0" w:val="nil"/>
        </w:pBdr>
        <w:spacing w:after="0"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rowy pod kable  -  należy sprawdzać zgodność ich tras z Dokumentacją Projektową, jak również ich wymiary: szerokość i głębokość. Wymiary poprzeczne rowu powinny być wykonane z tolerancją ±5cm. W przypadku wykonania rowów głębokich, należy sprawdzić zabezpieczenie ścianek przed osypywaniem się ziemi. Odchyłka trasy rowu od wytyczenia geodezyjnego nie powinna przekraczać 0,2m.</w:t>
      </w:r>
    </w:p>
    <w:p w:rsidR="00000000" w:rsidDel="00000000" w:rsidP="00000000" w:rsidRDefault="00000000" w:rsidRPr="00000000" w14:paraId="0000018E">
      <w:pPr>
        <w:numPr>
          <w:ilvl w:val="0"/>
          <w:numId w:val="29"/>
        </w:numPr>
        <w:pBdr>
          <w:top w:space="0" w:sz="0" w:val="nil"/>
          <w:left w:space="0" w:sz="0" w:val="nil"/>
          <w:bottom w:space="0" w:sz="0" w:val="nil"/>
          <w:right w:space="0" w:sz="0" w:val="nil"/>
          <w:between w:space="0" w:sz="0" w:val="nil"/>
        </w:pBdr>
        <w:spacing w:after="0"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układanie kabli</w:t>
      </w:r>
      <w:r w:rsidDel="00000000" w:rsidR="00000000" w:rsidRPr="00000000">
        <w:rPr>
          <w:rFonts w:ascii="Calibri" w:cs="Calibri" w:eastAsia="Calibri" w:hAnsi="Calibri"/>
          <w:b w:val="1"/>
          <w:bCs w:val="1"/>
          <w:i w:val="1"/>
          <w:iCs w:val="1"/>
          <w:color w:val="000000"/>
          <w:sz w:val="22"/>
          <w:szCs w:val="22"/>
          <w:rtl w:val="0"/>
        </w:rPr>
        <w:t xml:space="preserve"> </w:t>
      </w:r>
      <w:r w:rsidDel="00000000" w:rsidR="00000000" w:rsidRPr="00000000">
        <w:rPr>
          <w:rFonts w:ascii="Calibri" w:cs="Calibri" w:eastAsia="Calibri" w:hAnsi="Calibri"/>
          <w:color w:val="000000"/>
          <w:sz w:val="22"/>
          <w:szCs w:val="22"/>
          <w:rtl w:val="0"/>
        </w:rPr>
        <w:t xml:space="preserve"> – podczas układania kabli i po zakończeniu robót kablowych należy przeprowadzić następujące pomiary:</w:t>
      </w:r>
    </w:p>
    <w:p w:rsidR="00000000" w:rsidDel="00000000" w:rsidP="00000000" w:rsidRDefault="00000000" w:rsidRPr="00000000" w14:paraId="0000018F">
      <w:pPr>
        <w:numPr>
          <w:ilvl w:val="0"/>
          <w:numId w:val="18"/>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 głębokość zakopania kabla</w:t>
      </w:r>
    </w:p>
    <w:p w:rsidR="00000000" w:rsidDel="00000000" w:rsidP="00000000" w:rsidRDefault="00000000" w:rsidRPr="00000000" w14:paraId="00000190">
      <w:pPr>
        <w:numPr>
          <w:ilvl w:val="0"/>
          <w:numId w:val="18"/>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 grubość podsypki kablowej nad i pod kablem</w:t>
      </w:r>
    </w:p>
    <w:p w:rsidR="00000000" w:rsidDel="00000000" w:rsidP="00000000" w:rsidRDefault="00000000" w:rsidRPr="00000000" w14:paraId="00000191">
      <w:pPr>
        <w:numPr>
          <w:ilvl w:val="0"/>
          <w:numId w:val="18"/>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 odległość folii ochronnej od kabla</w:t>
      </w:r>
    </w:p>
    <w:p w:rsidR="00000000" w:rsidDel="00000000" w:rsidP="00000000" w:rsidRDefault="00000000" w:rsidRPr="00000000" w14:paraId="00000192">
      <w:pPr>
        <w:numPr>
          <w:ilvl w:val="0"/>
          <w:numId w:val="18"/>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 stopień zagęszczenia gruntu nad kablem i rozplanowanie nadmiaru gruntu</w:t>
      </w:r>
    </w:p>
    <w:p w:rsidR="00000000" w:rsidDel="00000000" w:rsidP="00000000" w:rsidRDefault="00000000" w:rsidRPr="00000000" w14:paraId="00000193">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         Wszystkie pomiary należy wykonywać w miejscach zabezpieczeń linii kablowej a uzyskane wyniki mogą być uznane za dobre, jeżeli odbiegają od założonych w Dokumentacji Projektowej nie więcej niż o 10%.</w:t>
      </w:r>
    </w:p>
    <w:p w:rsidR="00000000" w:rsidDel="00000000" w:rsidP="00000000" w:rsidRDefault="00000000" w:rsidRPr="00000000" w14:paraId="00000194">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195">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b w:val="1"/>
          <w:bCs w:val="1"/>
          <w:color w:val="000000"/>
          <w:sz w:val="22"/>
          <w:szCs w:val="22"/>
          <w:rtl w:val="0"/>
        </w:rPr>
        <w:t xml:space="preserve">Pozostałą infrastrukturę</w:t>
      </w:r>
      <w:r w:rsidDel="00000000" w:rsidR="00000000" w:rsidRPr="00000000">
        <w:rPr>
          <w:rFonts w:ascii="Calibri" w:cs="Calibri" w:eastAsia="Calibri" w:hAnsi="Calibri"/>
          <w:color w:val="000000"/>
          <w:sz w:val="22"/>
          <w:szCs w:val="22"/>
          <w:rtl w:val="0"/>
        </w:rPr>
        <w:t xml:space="preserve"> podziemną należy zabezpieczyć zgodnie z wytycznymi gestora oraz pod jego nadzorem.</w:t>
      </w:r>
    </w:p>
    <w:p w:rsidR="00000000" w:rsidDel="00000000" w:rsidP="00000000" w:rsidRDefault="00000000" w:rsidRPr="00000000" w14:paraId="00000196">
      <w:pPr>
        <w:keepNext w:val="1"/>
        <w:pBdr>
          <w:top w:space="0" w:sz="0" w:val="nil"/>
          <w:left w:space="0" w:sz="0" w:val="nil"/>
          <w:bottom w:space="0" w:sz="0" w:val="nil"/>
          <w:right w:space="0" w:sz="0" w:val="nil"/>
          <w:between w:space="0" w:sz="0" w:val="nil"/>
        </w:pBdr>
        <w:spacing w:after="0" w:line="240" w:lineRule="auto"/>
        <w:ind w:left="0" w:hanging="2"/>
        <w:rPr>
          <w:rFonts w:ascii="Calibri" w:cs="Calibri" w:eastAsia="Calibri" w:hAnsi="Calibri"/>
          <w:color w:val="000000"/>
          <w:sz w:val="22"/>
          <w:szCs w:val="22"/>
          <w:u w:val="single"/>
        </w:rPr>
      </w:pPr>
      <w:bookmarkStart w:colFirst="0" w:colLast="0" w:name="_heading=h.2grqrue" w:id="40"/>
      <w:bookmarkEnd w:id="40"/>
      <w:r w:rsidDel="00000000" w:rsidR="00000000" w:rsidRPr="00000000">
        <w:rPr>
          <w:rtl w:val="0"/>
        </w:rPr>
      </w:r>
    </w:p>
    <w:p w:rsidR="00000000" w:rsidDel="00000000" w:rsidP="00000000" w:rsidRDefault="00000000" w:rsidRPr="00000000" w14:paraId="00000197">
      <w:pPr>
        <w:keepNext w:val="1"/>
        <w:numPr>
          <w:ilvl w:val="0"/>
          <w:numId w:val="24"/>
        </w:numPr>
        <w:pBdr>
          <w:top w:space="0" w:sz="0" w:val="nil"/>
          <w:left w:space="0" w:sz="0" w:val="nil"/>
          <w:bottom w:space="0" w:sz="0" w:val="nil"/>
          <w:right w:space="0" w:sz="0" w:val="nil"/>
          <w:between w:space="0" w:sz="0" w:val="nil"/>
        </w:pBdr>
        <w:spacing w:before="240" w:line="240" w:lineRule="auto"/>
        <w:ind w:left="0" w:hanging="2"/>
        <w:rPr>
          <w:rFonts w:ascii="Calibri" w:cs="Calibri" w:eastAsia="Calibri" w:hAnsi="Calibri"/>
          <w:b w:val="1"/>
          <w:bCs w:val="1"/>
          <w:color w:val="000000"/>
        </w:rPr>
      </w:pPr>
      <w:r w:rsidDel="00000000" w:rsidR="00000000" w:rsidRPr="00000000">
        <w:rPr>
          <w:rFonts w:ascii="Calibri" w:cs="Calibri" w:eastAsia="Calibri" w:hAnsi="Calibri"/>
          <w:b w:val="1"/>
          <w:bCs w:val="1"/>
          <w:color w:val="000000"/>
          <w:rtl w:val="0"/>
        </w:rPr>
        <w:t xml:space="preserve">ODBIORY ROBÓT SIECI CIEPLNYCH</w:t>
      </w:r>
    </w:p>
    <w:p w:rsidR="00000000" w:rsidDel="00000000" w:rsidP="00000000" w:rsidRDefault="00000000" w:rsidRPr="00000000" w14:paraId="00000198">
      <w:pPr>
        <w:pBdr>
          <w:top w:space="0" w:sz="0" w:val="nil"/>
          <w:left w:space="0" w:sz="0" w:val="nil"/>
          <w:bottom w:space="0" w:sz="0" w:val="nil"/>
          <w:right w:space="0" w:sz="0" w:val="nil"/>
          <w:between w:space="0" w:sz="0" w:val="nil"/>
        </w:pBdr>
        <w:tabs>
          <w:tab w:val="left" w:leader="none" w:pos="851"/>
        </w:tabs>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Zasady odbiorów robót zostały opisane w ST Tom I pkt 19</w:t>
      </w:r>
    </w:p>
    <w:p w:rsidR="00000000" w:rsidDel="00000000" w:rsidP="00000000" w:rsidRDefault="00000000" w:rsidRPr="00000000" w14:paraId="00000199">
      <w:pPr>
        <w:pBdr>
          <w:top w:space="0" w:sz="0" w:val="nil"/>
          <w:left w:space="0" w:sz="0" w:val="nil"/>
          <w:bottom w:space="0" w:sz="0" w:val="nil"/>
          <w:right w:space="0" w:sz="0" w:val="nil"/>
          <w:between w:space="0" w:sz="0" w:val="nil"/>
        </w:pBdr>
        <w:spacing w:after="0" w:line="240" w:lineRule="auto"/>
        <w:ind w:left="0" w:hanging="2"/>
        <w:rPr>
          <w:rFonts w:ascii="Calibri" w:cs="Calibri" w:eastAsia="Calibri" w:hAnsi="Calibri"/>
          <w:color w:val="000000"/>
          <w:sz w:val="22"/>
          <w:szCs w:val="22"/>
        </w:rPr>
      </w:pPr>
      <w:bookmarkStart w:colFirst="0" w:colLast="0" w:name="_heading=h.vx1227" w:id="41"/>
      <w:bookmarkEnd w:id="41"/>
      <w:r w:rsidDel="00000000" w:rsidR="00000000" w:rsidRPr="00000000">
        <w:rPr>
          <w:rFonts w:ascii="Calibri" w:cs="Calibri" w:eastAsia="Calibri" w:hAnsi="Calibri"/>
          <w:color w:val="000000"/>
          <w:sz w:val="22"/>
          <w:szCs w:val="22"/>
          <w:rtl w:val="0"/>
        </w:rPr>
        <w:t xml:space="preserve">  </w:t>
      </w:r>
    </w:p>
    <w:p w:rsidR="00000000" w:rsidDel="00000000" w:rsidP="00000000" w:rsidRDefault="00000000" w:rsidRPr="00000000" w14:paraId="0000019A">
      <w:pPr>
        <w:keepNext w:val="1"/>
        <w:numPr>
          <w:ilvl w:val="0"/>
          <w:numId w:val="24"/>
        </w:numPr>
        <w:pBdr>
          <w:top w:space="0" w:sz="0" w:val="nil"/>
          <w:left w:space="0" w:sz="0" w:val="nil"/>
          <w:bottom w:space="0" w:sz="0" w:val="nil"/>
          <w:right w:space="0" w:sz="0" w:val="nil"/>
          <w:between w:space="0" w:sz="0" w:val="nil"/>
        </w:pBdr>
        <w:spacing w:before="240" w:line="240" w:lineRule="auto"/>
        <w:ind w:left="0" w:hanging="2"/>
        <w:rPr>
          <w:rFonts w:ascii="Calibri" w:cs="Calibri" w:eastAsia="Calibri" w:hAnsi="Calibri"/>
          <w:b w:val="1"/>
          <w:bCs w:val="1"/>
          <w:color w:val="000000"/>
        </w:rPr>
      </w:pPr>
      <w:r w:rsidDel="00000000" w:rsidR="00000000" w:rsidRPr="00000000">
        <w:rPr>
          <w:rFonts w:ascii="Calibri" w:cs="Calibri" w:eastAsia="Calibri" w:hAnsi="Calibri"/>
          <w:b w:val="1"/>
          <w:bCs w:val="1"/>
          <w:color w:val="000000"/>
          <w:rtl w:val="0"/>
        </w:rPr>
        <w:t xml:space="preserve">PŁATNOŚCI</w:t>
      </w:r>
    </w:p>
    <w:p w:rsidR="00000000" w:rsidDel="00000000" w:rsidP="00000000" w:rsidRDefault="00000000" w:rsidRPr="00000000" w14:paraId="0000019B">
      <w:pPr>
        <w:pBdr>
          <w:top w:space="0" w:sz="0" w:val="nil"/>
          <w:left w:space="0" w:sz="0" w:val="nil"/>
          <w:bottom w:space="0" w:sz="0" w:val="nil"/>
          <w:right w:space="0" w:sz="0" w:val="nil"/>
          <w:between w:space="0" w:sz="0" w:val="nil"/>
        </w:pBdr>
        <w:spacing w:line="240" w:lineRule="auto"/>
        <w:ind w:left="0" w:right="72"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Płatności zostaną dokonane zgodnie z zapisami ST Tom I pkt 20</w:t>
      </w:r>
    </w:p>
    <w:p w:rsidR="00000000" w:rsidDel="00000000" w:rsidP="00000000" w:rsidRDefault="00000000" w:rsidRPr="00000000" w14:paraId="0000019C">
      <w:pPr>
        <w:pBdr>
          <w:top w:space="0" w:sz="0" w:val="nil"/>
          <w:left w:space="0" w:sz="0" w:val="nil"/>
          <w:bottom w:space="0" w:sz="0" w:val="nil"/>
          <w:right w:space="0" w:sz="0" w:val="nil"/>
          <w:between w:space="0" w:sz="0" w:val="nil"/>
        </w:pBdr>
        <w:spacing w:line="240" w:lineRule="auto"/>
        <w:ind w:left="0" w:right="72" w:hanging="2"/>
        <w:rPr>
          <w:rFonts w:ascii="Calibri" w:cs="Calibri" w:eastAsia="Calibri" w:hAnsi="Calibri"/>
          <w:color w:val="000000"/>
          <w:sz w:val="22"/>
          <w:szCs w:val="22"/>
        </w:rPr>
      </w:pPr>
      <w:bookmarkStart w:colFirst="0" w:colLast="0" w:name="_heading=h.3fwokq0" w:id="42"/>
      <w:bookmarkEnd w:id="42"/>
      <w:r w:rsidDel="00000000" w:rsidR="00000000" w:rsidRPr="00000000">
        <w:rPr>
          <w:rtl w:val="0"/>
        </w:rPr>
      </w:r>
    </w:p>
    <w:p w:rsidR="00000000" w:rsidDel="00000000" w:rsidP="00000000" w:rsidRDefault="00000000" w:rsidRPr="00000000" w14:paraId="0000019D">
      <w:pPr>
        <w:keepNext w:val="1"/>
        <w:numPr>
          <w:ilvl w:val="0"/>
          <w:numId w:val="24"/>
        </w:numPr>
        <w:pBdr>
          <w:top w:space="0" w:sz="0" w:val="nil"/>
          <w:left w:space="0" w:sz="0" w:val="nil"/>
          <w:bottom w:space="0" w:sz="0" w:val="nil"/>
          <w:right w:space="0" w:sz="0" w:val="nil"/>
          <w:between w:space="0" w:sz="0" w:val="nil"/>
        </w:pBdr>
        <w:spacing w:before="240" w:line="240" w:lineRule="auto"/>
        <w:ind w:left="0" w:hanging="2"/>
        <w:rPr>
          <w:rFonts w:ascii="Calibri" w:cs="Calibri" w:eastAsia="Calibri" w:hAnsi="Calibri"/>
          <w:b w:val="1"/>
          <w:bCs w:val="1"/>
          <w:color w:val="000000"/>
        </w:rPr>
      </w:pPr>
      <w:r w:rsidDel="00000000" w:rsidR="00000000" w:rsidRPr="00000000">
        <w:rPr>
          <w:rFonts w:ascii="Calibri" w:cs="Calibri" w:eastAsia="Calibri" w:hAnsi="Calibri"/>
          <w:b w:val="1"/>
          <w:bCs w:val="1"/>
          <w:color w:val="000000"/>
          <w:rtl w:val="0"/>
        </w:rPr>
        <w:t xml:space="preserve">PRZEPISY ZWIĄZANE</w:t>
      </w:r>
    </w:p>
    <w:tbl>
      <w:tblPr>
        <w:tblStyle w:val="Table1"/>
        <w:tblW w:w="9781.0" w:type="dxa"/>
        <w:jc w:val="left"/>
        <w:tblInd w:w="-142.0" w:type="dxa"/>
        <w:tblLayout w:type="fixed"/>
        <w:tblLook w:val="0000"/>
      </w:tblPr>
      <w:tblGrid>
        <w:gridCol w:w="160"/>
        <w:gridCol w:w="160"/>
        <w:gridCol w:w="9461"/>
        <w:tblGridChange w:id="0">
          <w:tblGrid>
            <w:gridCol w:w="160"/>
            <w:gridCol w:w="160"/>
            <w:gridCol w:w="9461"/>
          </w:tblGrid>
        </w:tblGridChange>
      </w:tblGrid>
      <w:tr>
        <w:trPr>
          <w:cantSplit w:val="0"/>
          <w:tblHeader w:val="0"/>
        </w:trPr>
        <w:tc>
          <w:tcPr/>
          <w:p w:rsidR="00000000" w:rsidDel="00000000" w:rsidP="00000000" w:rsidRDefault="00000000" w:rsidRPr="00000000" w14:paraId="0000019E">
            <w:pPr>
              <w:pBdr>
                <w:top w:space="0" w:sz="0" w:val="nil"/>
                <w:left w:space="0" w:sz="0" w:val="nil"/>
                <w:bottom w:space="0" w:sz="0" w:val="nil"/>
                <w:right w:space="0" w:sz="0" w:val="nil"/>
                <w:between w:space="0" w:sz="0" w:val="nil"/>
              </w:pBdr>
              <w:spacing w:line="240" w:lineRule="auto"/>
              <w:ind w:left="0" w:hanging="2"/>
              <w:jc w:val="center"/>
              <w:rPr>
                <w:rFonts w:ascii="Calibri" w:cs="Calibri" w:eastAsia="Calibri" w:hAnsi="Calibri"/>
                <w:color w:val="000000"/>
                <w:sz w:val="22"/>
                <w:szCs w:val="22"/>
              </w:rPr>
            </w:pPr>
            <w:r w:rsidDel="00000000" w:rsidR="00000000" w:rsidRPr="00000000">
              <w:rPr>
                <w:rtl w:val="0"/>
              </w:rPr>
            </w:r>
          </w:p>
        </w:tc>
        <w:tc>
          <w:tcPr/>
          <w:p w:rsidR="00000000" w:rsidDel="00000000" w:rsidP="00000000" w:rsidRDefault="00000000" w:rsidRPr="00000000" w14:paraId="0000019F">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tl w:val="0"/>
              </w:rPr>
            </w:r>
          </w:p>
        </w:tc>
        <w:tc>
          <w:tcPr/>
          <w:p w:rsidR="00000000" w:rsidDel="00000000" w:rsidP="00000000" w:rsidRDefault="00000000" w:rsidRPr="00000000" w14:paraId="000001A0">
            <w:pPr>
              <w:numPr>
                <w:ilvl w:val="0"/>
                <w:numId w:val="20"/>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Ustawa Prawo budowlane z dnia 7 lipca 1994 r. (tekst jednolity Dz.U. 2023 poz. 682 z późn. zm.)</w:t>
            </w:r>
          </w:p>
        </w:tc>
      </w:tr>
      <w:tr>
        <w:trPr>
          <w:cantSplit w:val="0"/>
          <w:tblHeader w:val="0"/>
        </w:trPr>
        <w:tc>
          <w:tcPr/>
          <w:p w:rsidR="00000000" w:rsidDel="00000000" w:rsidP="00000000" w:rsidRDefault="00000000" w:rsidRPr="00000000" w14:paraId="000001A1">
            <w:pPr>
              <w:pBdr>
                <w:top w:space="0" w:sz="0" w:val="nil"/>
                <w:left w:space="0" w:sz="0" w:val="nil"/>
                <w:bottom w:space="0" w:sz="0" w:val="nil"/>
                <w:right w:space="0" w:sz="0" w:val="nil"/>
                <w:between w:space="0" w:sz="0" w:val="nil"/>
              </w:pBdr>
              <w:spacing w:line="240" w:lineRule="auto"/>
              <w:ind w:left="0" w:hanging="2"/>
              <w:jc w:val="center"/>
              <w:rPr>
                <w:rFonts w:ascii="Calibri" w:cs="Calibri" w:eastAsia="Calibri" w:hAnsi="Calibri"/>
                <w:color w:val="000000"/>
                <w:sz w:val="22"/>
                <w:szCs w:val="22"/>
              </w:rPr>
            </w:pPr>
            <w:r w:rsidDel="00000000" w:rsidR="00000000" w:rsidRPr="00000000">
              <w:rPr>
                <w:rtl w:val="0"/>
              </w:rPr>
            </w:r>
          </w:p>
        </w:tc>
        <w:tc>
          <w:tcPr/>
          <w:p w:rsidR="00000000" w:rsidDel="00000000" w:rsidP="00000000" w:rsidRDefault="00000000" w:rsidRPr="00000000" w14:paraId="000001A2">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tl w:val="0"/>
              </w:rPr>
            </w:r>
          </w:p>
        </w:tc>
        <w:tc>
          <w:tcPr/>
          <w:p w:rsidR="00000000" w:rsidDel="00000000" w:rsidP="00000000" w:rsidRDefault="00000000" w:rsidRPr="00000000" w14:paraId="000001A3">
            <w:pPr>
              <w:numPr>
                <w:ilvl w:val="0"/>
                <w:numId w:val="20"/>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Rozporządzenia Ministra Energii z dnia 28 sierpnia 2019r. w sprawie bezpieczeństwa i higieny pracy przy urządzeniach energetycznych (Dz.U. 2021 poz. 1210 z późn. zm)</w:t>
            </w:r>
          </w:p>
        </w:tc>
      </w:tr>
      <w:tr>
        <w:trPr>
          <w:cantSplit w:val="0"/>
          <w:tblHeader w:val="0"/>
        </w:trPr>
        <w:tc>
          <w:tcPr/>
          <w:p w:rsidR="00000000" w:rsidDel="00000000" w:rsidP="00000000" w:rsidRDefault="00000000" w:rsidRPr="00000000" w14:paraId="000001A4">
            <w:pPr>
              <w:pBdr>
                <w:top w:space="0" w:sz="0" w:val="nil"/>
                <w:left w:space="0" w:sz="0" w:val="nil"/>
                <w:bottom w:space="0" w:sz="0" w:val="nil"/>
                <w:right w:space="0" w:sz="0" w:val="nil"/>
                <w:between w:space="0" w:sz="0" w:val="nil"/>
              </w:pBdr>
              <w:spacing w:line="240" w:lineRule="auto"/>
              <w:ind w:left="0" w:hanging="2"/>
              <w:jc w:val="center"/>
              <w:rPr>
                <w:rFonts w:ascii="Calibri" w:cs="Calibri" w:eastAsia="Calibri" w:hAnsi="Calibri"/>
                <w:color w:val="000000"/>
                <w:sz w:val="22"/>
                <w:szCs w:val="22"/>
              </w:rPr>
            </w:pPr>
            <w:r w:rsidDel="00000000" w:rsidR="00000000" w:rsidRPr="00000000">
              <w:rPr>
                <w:rtl w:val="0"/>
              </w:rPr>
            </w:r>
          </w:p>
        </w:tc>
        <w:tc>
          <w:tcPr/>
          <w:p w:rsidR="00000000" w:rsidDel="00000000" w:rsidP="00000000" w:rsidRDefault="00000000" w:rsidRPr="00000000" w14:paraId="000001A5">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tl w:val="0"/>
              </w:rPr>
            </w:r>
          </w:p>
        </w:tc>
        <w:tc>
          <w:tcPr/>
          <w:p w:rsidR="00000000" w:rsidDel="00000000" w:rsidP="00000000" w:rsidRDefault="00000000" w:rsidRPr="00000000" w14:paraId="000001A6">
            <w:pPr>
              <w:numPr>
                <w:ilvl w:val="0"/>
                <w:numId w:val="20"/>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Rozporządzeniem Ministra Infrastruktury z dnia 06 lutego 2003 roku w sprawie bezpieczeństwa i higieny pracy podczas wykonywania robót budowlanych </w:t>
            </w:r>
          </w:p>
        </w:tc>
      </w:tr>
      <w:tr>
        <w:trPr>
          <w:cantSplit w:val="0"/>
          <w:tblHeader w:val="0"/>
        </w:trPr>
        <w:tc>
          <w:tcPr/>
          <w:p w:rsidR="00000000" w:rsidDel="00000000" w:rsidP="00000000" w:rsidRDefault="00000000" w:rsidRPr="00000000" w14:paraId="000001A7">
            <w:pPr>
              <w:pBdr>
                <w:top w:space="0" w:sz="0" w:val="nil"/>
                <w:left w:space="0" w:sz="0" w:val="nil"/>
                <w:bottom w:space="0" w:sz="0" w:val="nil"/>
                <w:right w:space="0" w:sz="0" w:val="nil"/>
                <w:between w:space="0" w:sz="0" w:val="nil"/>
              </w:pBdr>
              <w:spacing w:line="240" w:lineRule="auto"/>
              <w:ind w:left="0" w:hanging="2"/>
              <w:jc w:val="center"/>
              <w:rPr>
                <w:rFonts w:ascii="Calibri" w:cs="Calibri" w:eastAsia="Calibri" w:hAnsi="Calibri"/>
                <w:color w:val="000000"/>
                <w:sz w:val="22"/>
                <w:szCs w:val="22"/>
              </w:rPr>
            </w:pPr>
            <w:r w:rsidDel="00000000" w:rsidR="00000000" w:rsidRPr="00000000">
              <w:rPr>
                <w:rtl w:val="0"/>
              </w:rPr>
            </w:r>
          </w:p>
        </w:tc>
        <w:tc>
          <w:tcPr/>
          <w:p w:rsidR="00000000" w:rsidDel="00000000" w:rsidP="00000000" w:rsidRDefault="00000000" w:rsidRPr="00000000" w14:paraId="000001A8">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tl w:val="0"/>
              </w:rPr>
            </w:r>
          </w:p>
        </w:tc>
        <w:tc>
          <w:tcPr/>
          <w:p w:rsidR="00000000" w:rsidDel="00000000" w:rsidP="00000000" w:rsidRDefault="00000000" w:rsidRPr="00000000" w14:paraId="000001A9">
            <w:pPr>
              <w:numPr>
                <w:ilvl w:val="0"/>
                <w:numId w:val="20"/>
              </w:num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Rozporządzeniem Ministra Pracy i Polityki Socjalnej z dnia 26 września 1997r. w sprawie ogólnych przepisów bezpieczeństwa i higieny pracy (Dz. U z 1999 nr 129 poz. 844 z późn. zm.) </w:t>
            </w:r>
          </w:p>
        </w:tc>
      </w:tr>
    </w:tbl>
    <w:p w:rsidR="00000000" w:rsidDel="00000000" w:rsidP="00000000" w:rsidRDefault="00000000" w:rsidRPr="00000000" w14:paraId="000001AA">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tl w:val="0"/>
        </w:rPr>
      </w:r>
    </w:p>
    <w:p w:rsidR="00000000" w:rsidDel="00000000" w:rsidP="00000000" w:rsidRDefault="00000000" w:rsidRPr="00000000" w14:paraId="000001AB">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Warunki techniczne wykonania, badania, prób i odbioru określają normy:</w:t>
      </w:r>
    </w:p>
    <w:tbl>
      <w:tblPr>
        <w:tblStyle w:val="Table2"/>
        <w:tblW w:w="9355.0" w:type="dxa"/>
        <w:jc w:val="left"/>
        <w:tblInd w:w="284.0" w:type="dxa"/>
        <w:tblLayout w:type="fixed"/>
        <w:tblLook w:val="0000"/>
      </w:tblPr>
      <w:tblGrid>
        <w:gridCol w:w="2693"/>
        <w:gridCol w:w="284"/>
        <w:gridCol w:w="6378"/>
        <w:tblGridChange w:id="0">
          <w:tblGrid>
            <w:gridCol w:w="2693"/>
            <w:gridCol w:w="284"/>
            <w:gridCol w:w="6378"/>
          </w:tblGrid>
        </w:tblGridChange>
      </w:tblGrid>
      <w:tr>
        <w:trPr>
          <w:cantSplit w:val="0"/>
          <w:tblHeader w:val="0"/>
        </w:trPr>
        <w:tc>
          <w:tcPr/>
          <w:p w:rsidR="00000000" w:rsidDel="00000000" w:rsidP="00000000" w:rsidRDefault="00000000" w:rsidRPr="00000000" w14:paraId="000001AC">
            <w:pPr>
              <w:ind w:hanging="2"/>
              <w:rPr>
                <w:rFonts w:ascii="Calibri" w:cs="Calibri" w:eastAsia="Calibri" w:hAnsi="Calibri"/>
                <w:color w:val="0000ff"/>
                <w:sz w:val="22"/>
                <w:szCs w:val="22"/>
              </w:rPr>
            </w:pPr>
            <w:r w:rsidDel="00000000" w:rsidR="00000000" w:rsidRPr="00000000">
              <w:rPr>
                <w:rFonts w:ascii="Calibri" w:cs="Calibri" w:eastAsia="Calibri" w:hAnsi="Calibri"/>
                <w:color w:val="0000ff"/>
                <w:sz w:val="22"/>
                <w:szCs w:val="22"/>
                <w:rtl w:val="0"/>
              </w:rPr>
              <w:t xml:space="preserve">PN-EN 253+A2:2024-06</w:t>
            </w:r>
            <w:r w:rsidDel="00000000" w:rsidR="00000000" w:rsidRPr="00000000">
              <w:rPr>
                <w:rFonts w:ascii="Calibri" w:cs="Calibri" w:eastAsia="Calibri" w:hAnsi="Calibri"/>
                <w:color w:val="0000ff"/>
                <w:sz w:val="22"/>
                <w:szCs w:val="22"/>
                <w:highlight w:val="white"/>
                <w:rtl w:val="0"/>
              </w:rPr>
              <w:t xml:space="preserve"> </w:t>
            </w:r>
            <w:r w:rsidDel="00000000" w:rsidR="00000000" w:rsidRPr="00000000">
              <w:rPr>
                <w:rFonts w:ascii="Calibri" w:cs="Calibri" w:eastAsia="Calibri" w:hAnsi="Calibri"/>
                <w:color w:val="0000ff"/>
                <w:sz w:val="22"/>
                <w:szCs w:val="22"/>
                <w:rtl w:val="0"/>
              </w:rPr>
              <w:t xml:space="preserve"> </w:t>
            </w:r>
          </w:p>
        </w:tc>
        <w:tc>
          <w:tcPr/>
          <w:p w:rsidR="00000000" w:rsidDel="00000000" w:rsidP="00000000" w:rsidRDefault="00000000" w:rsidRPr="00000000" w14:paraId="000001AD">
            <w:pPr>
              <w:ind w:hanging="2"/>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1AE">
            <w:pPr>
              <w:ind w:hanging="2"/>
              <w:rPr>
                <w:rFonts w:ascii="Calibri" w:cs="Calibri" w:eastAsia="Calibri" w:hAnsi="Calibri"/>
                <w:color w:val="0000ff"/>
                <w:sz w:val="22"/>
                <w:szCs w:val="22"/>
              </w:rPr>
            </w:pPr>
            <w:r w:rsidDel="00000000" w:rsidR="00000000" w:rsidRPr="00000000">
              <w:rPr>
                <w:rFonts w:ascii="Calibri" w:cs="Calibri" w:eastAsia="Calibri" w:hAnsi="Calibri"/>
                <w:color w:val="0000ff"/>
                <w:sz w:val="22"/>
                <w:szCs w:val="22"/>
                <w:rtl w:val="0"/>
              </w:rPr>
              <w:t xml:space="preserve">Sieci ciepłownicze - System preizolowanych rur zespolonych do wodnych sieci ciepłowniczych układanych bezpośrednio w gruncie - Fabrycznie wykonany zespół rurowy ze stalowej rury przewodowej, izolacji cieplnej z poliuretanu i osłony z polietylenu</w:t>
            </w:r>
          </w:p>
        </w:tc>
      </w:tr>
      <w:tr>
        <w:trPr>
          <w:cantSplit w:val="0"/>
          <w:tblHeader w:val="0"/>
        </w:trPr>
        <w:tc>
          <w:tcPr/>
          <w:p w:rsidR="00000000" w:rsidDel="00000000" w:rsidP="00000000" w:rsidRDefault="00000000" w:rsidRPr="00000000" w14:paraId="000001AF">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PN-EN 253+A2:2015-12</w:t>
            </w:r>
          </w:p>
          <w:p w:rsidR="00000000" w:rsidDel="00000000" w:rsidP="00000000" w:rsidRDefault="00000000" w:rsidRPr="00000000" w14:paraId="000001B0">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1B1">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1B2">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PN-EN 448:2015-12</w:t>
            </w:r>
          </w:p>
        </w:tc>
        <w:tc>
          <w:tcPr/>
          <w:p w:rsidR="00000000" w:rsidDel="00000000" w:rsidP="00000000" w:rsidRDefault="00000000" w:rsidRPr="00000000" w14:paraId="000001B3">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tl w:val="0"/>
              </w:rPr>
            </w:r>
          </w:p>
        </w:tc>
        <w:tc>
          <w:tcPr/>
          <w:p w:rsidR="00000000" w:rsidDel="00000000" w:rsidP="00000000" w:rsidRDefault="00000000" w:rsidRPr="00000000" w14:paraId="000001B4">
            <w:pPr>
              <w:ind w:hanging="2"/>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Sieci ciepłownicze - System preizolowanych zespolonych rur do wodnych sieci ciepłowniczych układanych bezpośrednio w gruncie - Zespół rurowy ze stalowej rury przewodowej, izolacji cieplnej z poliuretanu i płaszcza osłonowego z polietylenu</w:t>
            </w:r>
          </w:p>
          <w:p w:rsidR="00000000" w:rsidDel="00000000" w:rsidP="00000000" w:rsidRDefault="00000000" w:rsidRPr="00000000" w14:paraId="000001B5">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Sieci ciepłownicze - System preizolowanych zespolonych rur do wodnych sieci ciepłowniczych układanych bezpośrednio w gruncie - Kształtki - zespoły ze stalowej rury przewodowej, izolacji cieplnej w poliuretanu i płaszcza osłonowego z polietylenu</w:t>
            </w:r>
          </w:p>
        </w:tc>
      </w:tr>
      <w:tr>
        <w:trPr>
          <w:cantSplit w:val="0"/>
          <w:tblHeader w:val="0"/>
        </w:trPr>
        <w:tc>
          <w:tcPr/>
          <w:p w:rsidR="00000000" w:rsidDel="00000000" w:rsidP="00000000" w:rsidRDefault="00000000" w:rsidRPr="00000000" w14:paraId="000001B6">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PN-EN 488:2015-12</w:t>
            </w:r>
          </w:p>
        </w:tc>
        <w:tc>
          <w:tcPr/>
          <w:p w:rsidR="00000000" w:rsidDel="00000000" w:rsidP="00000000" w:rsidRDefault="00000000" w:rsidRPr="00000000" w14:paraId="000001B7">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tl w:val="0"/>
              </w:rPr>
            </w:r>
          </w:p>
        </w:tc>
        <w:tc>
          <w:tcPr/>
          <w:p w:rsidR="00000000" w:rsidDel="00000000" w:rsidP="00000000" w:rsidRDefault="00000000" w:rsidRPr="00000000" w14:paraId="000001B8">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Sieci ciepłownicze - System preizolowanych zespolonych rur do wodnych sieci ciepłowniczych układanych bezpośrednio w gruncie - Zespół armatury do stalowych rur przewodowych, z izolacją cieplną z poliuretanu i płaszczem osłonowym z polietylenu</w:t>
            </w:r>
          </w:p>
        </w:tc>
      </w:tr>
      <w:tr>
        <w:trPr>
          <w:cantSplit w:val="0"/>
          <w:tblHeader w:val="0"/>
        </w:trPr>
        <w:tc>
          <w:tcPr/>
          <w:p w:rsidR="00000000" w:rsidDel="00000000" w:rsidP="00000000" w:rsidRDefault="00000000" w:rsidRPr="00000000" w14:paraId="000001B9">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PN-EN 489:2009</w:t>
            </w:r>
          </w:p>
        </w:tc>
        <w:tc>
          <w:tcPr/>
          <w:p w:rsidR="00000000" w:rsidDel="00000000" w:rsidP="00000000" w:rsidRDefault="00000000" w:rsidRPr="00000000" w14:paraId="000001BA">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tl w:val="0"/>
              </w:rPr>
            </w:r>
          </w:p>
        </w:tc>
        <w:tc>
          <w:tcPr/>
          <w:p w:rsidR="00000000" w:rsidDel="00000000" w:rsidP="00000000" w:rsidRDefault="00000000" w:rsidRPr="00000000" w14:paraId="000001BB">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Sieci ciepłownicze - System preizolowanych zespolonych rur do wodnych sieci ciepłowniczych układanych bezpośrednio w gruncie - Zespół złącza stalowych rur przewodowych z izolacją cieplną z poliuretanu i płaszczem osłonowym z polietylenu</w:t>
            </w:r>
          </w:p>
        </w:tc>
      </w:tr>
      <w:tr>
        <w:trPr>
          <w:cantSplit w:val="0"/>
          <w:tblHeader w:val="0"/>
        </w:trPr>
        <w:tc>
          <w:tcPr/>
          <w:p w:rsidR="00000000" w:rsidDel="00000000" w:rsidP="00000000" w:rsidRDefault="00000000" w:rsidRPr="00000000" w14:paraId="000001BC">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PN-EN 14419:2009</w:t>
            </w:r>
          </w:p>
        </w:tc>
        <w:tc>
          <w:tcPr/>
          <w:p w:rsidR="00000000" w:rsidDel="00000000" w:rsidP="00000000" w:rsidRDefault="00000000" w:rsidRPr="00000000" w14:paraId="000001BD">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tl w:val="0"/>
              </w:rPr>
            </w:r>
          </w:p>
        </w:tc>
        <w:tc>
          <w:tcPr/>
          <w:p w:rsidR="00000000" w:rsidDel="00000000" w:rsidP="00000000" w:rsidRDefault="00000000" w:rsidRPr="00000000" w14:paraId="000001BE">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Sieci ciepłownicze - System preizolowanych zespolonych rur do wodnych sieci ciepłowniczych układanych bezpośrednio w gruncie - System kontroli i sygnalizacji zagrożenia stanów awaryjnych</w:t>
            </w:r>
          </w:p>
        </w:tc>
      </w:tr>
      <w:tr>
        <w:trPr>
          <w:cantSplit w:val="0"/>
          <w:tblHeader w:val="0"/>
        </w:trPr>
        <w:tc>
          <w:tcPr/>
          <w:p w:rsidR="00000000" w:rsidDel="00000000" w:rsidP="00000000" w:rsidRDefault="00000000" w:rsidRPr="00000000" w14:paraId="000001BF">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hyperlink r:id="rId7">
              <w:r w:rsidDel="00000000" w:rsidR="00000000" w:rsidRPr="00000000">
                <w:rPr>
                  <w:rFonts w:ascii="Calibri" w:cs="Calibri" w:eastAsia="Calibri" w:hAnsi="Calibri"/>
                  <w:color w:val="000000"/>
                  <w:sz w:val="22"/>
                  <w:szCs w:val="22"/>
                  <w:rtl w:val="0"/>
                </w:rPr>
                <w:t xml:space="preserve">PN-EN ISO 15607: 2005</w:t>
              </w:r>
            </w:hyperlink>
            <w:r w:rsidDel="00000000" w:rsidR="00000000" w:rsidRPr="00000000">
              <w:rPr>
                <w:rtl w:val="0"/>
              </w:rPr>
            </w:r>
          </w:p>
        </w:tc>
        <w:tc>
          <w:tcPr/>
          <w:p w:rsidR="00000000" w:rsidDel="00000000" w:rsidP="00000000" w:rsidRDefault="00000000" w:rsidRPr="00000000" w14:paraId="000001C0">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tl w:val="0"/>
              </w:rPr>
            </w:r>
          </w:p>
        </w:tc>
        <w:tc>
          <w:tcPr/>
          <w:p w:rsidR="00000000" w:rsidDel="00000000" w:rsidP="00000000" w:rsidRDefault="00000000" w:rsidRPr="00000000" w14:paraId="000001C1">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Wymagania dotyczące technologii spawania metali i jej uznawanie - Postanowienia ogólne dotyczące spawania</w:t>
            </w:r>
          </w:p>
        </w:tc>
      </w:tr>
      <w:tr>
        <w:trPr>
          <w:cantSplit w:val="0"/>
          <w:tblHeader w:val="0"/>
        </w:trPr>
        <w:tc>
          <w:tcPr/>
          <w:p w:rsidR="00000000" w:rsidDel="00000000" w:rsidP="00000000" w:rsidRDefault="00000000" w:rsidRPr="00000000" w14:paraId="000001C2">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hyperlink r:id="rId8">
              <w:r w:rsidDel="00000000" w:rsidR="00000000" w:rsidRPr="00000000">
                <w:rPr>
                  <w:rFonts w:ascii="Calibri" w:cs="Calibri" w:eastAsia="Calibri" w:hAnsi="Calibri"/>
                  <w:color w:val="000000"/>
                  <w:sz w:val="22"/>
                  <w:szCs w:val="22"/>
                  <w:rtl w:val="0"/>
                </w:rPr>
                <w:t xml:space="preserve">PN-EN ISO 15609-1:2005</w:t>
              </w:r>
            </w:hyperlink>
            <w:r w:rsidDel="00000000" w:rsidR="00000000" w:rsidRPr="00000000">
              <w:rPr>
                <w:rtl w:val="0"/>
              </w:rPr>
            </w:r>
          </w:p>
        </w:tc>
        <w:tc>
          <w:tcPr/>
          <w:p w:rsidR="00000000" w:rsidDel="00000000" w:rsidP="00000000" w:rsidRDefault="00000000" w:rsidRPr="00000000" w14:paraId="000001C3">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tl w:val="0"/>
              </w:rPr>
            </w:r>
          </w:p>
        </w:tc>
        <w:tc>
          <w:tcPr/>
          <w:p w:rsidR="00000000" w:rsidDel="00000000" w:rsidP="00000000" w:rsidRDefault="00000000" w:rsidRPr="00000000" w14:paraId="000001C4">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Wymagania dotyczące technologii spawania metali i jej uznawanie -- Instrukcja technologiczna spawania łukowego</w:t>
            </w:r>
          </w:p>
        </w:tc>
      </w:tr>
      <w:tr>
        <w:trPr>
          <w:cantSplit w:val="0"/>
          <w:tblHeader w:val="0"/>
        </w:trPr>
        <w:tc>
          <w:tcPr/>
          <w:p w:rsidR="00000000" w:rsidDel="00000000" w:rsidP="00000000" w:rsidRDefault="00000000" w:rsidRPr="00000000" w14:paraId="000001C5">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hyperlink r:id="rId9">
              <w:r w:rsidDel="00000000" w:rsidR="00000000" w:rsidRPr="00000000">
                <w:rPr>
                  <w:rFonts w:ascii="Calibri" w:cs="Calibri" w:eastAsia="Calibri" w:hAnsi="Calibri"/>
                  <w:color w:val="000000"/>
                  <w:sz w:val="22"/>
                  <w:szCs w:val="22"/>
                  <w:rtl w:val="0"/>
                </w:rPr>
                <w:t xml:space="preserve">PN-EN ISO 15614-1:2005</w:t>
              </w:r>
            </w:hyperlink>
            <w:r w:rsidDel="00000000" w:rsidR="00000000" w:rsidRPr="00000000">
              <w:rPr>
                <w:rtl w:val="0"/>
              </w:rPr>
            </w:r>
          </w:p>
        </w:tc>
        <w:tc>
          <w:tcPr/>
          <w:p w:rsidR="00000000" w:rsidDel="00000000" w:rsidP="00000000" w:rsidRDefault="00000000" w:rsidRPr="00000000" w14:paraId="000001C6">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tl w:val="0"/>
              </w:rPr>
            </w:r>
          </w:p>
        </w:tc>
        <w:tc>
          <w:tcPr/>
          <w:p w:rsidR="00000000" w:rsidDel="00000000" w:rsidP="00000000" w:rsidRDefault="00000000" w:rsidRPr="00000000" w14:paraId="000001C7">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Wymagania dotyczące technologii spawania metali i jej uznawanie - Badania technologii spawania łukowego stali</w:t>
            </w:r>
          </w:p>
        </w:tc>
      </w:tr>
      <w:tr>
        <w:trPr>
          <w:cantSplit w:val="0"/>
          <w:tblHeader w:val="0"/>
        </w:trPr>
        <w:tc>
          <w:tcPr/>
          <w:p w:rsidR="00000000" w:rsidDel="00000000" w:rsidP="00000000" w:rsidRDefault="00000000" w:rsidRPr="00000000" w14:paraId="000001C8">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hyperlink r:id="rId10">
              <w:r w:rsidDel="00000000" w:rsidR="00000000" w:rsidRPr="00000000">
                <w:rPr>
                  <w:rFonts w:ascii="Calibri" w:cs="Calibri" w:eastAsia="Calibri" w:hAnsi="Calibri"/>
                  <w:color w:val="000000"/>
                  <w:sz w:val="22"/>
                  <w:szCs w:val="22"/>
                  <w:rtl w:val="0"/>
                </w:rPr>
                <w:t xml:space="preserve">PN-EN ISO 17637: 2011</w:t>
              </w:r>
            </w:hyperlink>
            <w:r w:rsidDel="00000000" w:rsidR="00000000" w:rsidRPr="00000000">
              <w:rPr>
                <w:rtl w:val="0"/>
              </w:rPr>
            </w:r>
          </w:p>
        </w:tc>
        <w:tc>
          <w:tcPr/>
          <w:p w:rsidR="00000000" w:rsidDel="00000000" w:rsidP="00000000" w:rsidRDefault="00000000" w:rsidRPr="00000000" w14:paraId="000001C9">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tl w:val="0"/>
              </w:rPr>
            </w:r>
          </w:p>
        </w:tc>
        <w:tc>
          <w:tcPr/>
          <w:p w:rsidR="00000000" w:rsidDel="00000000" w:rsidP="00000000" w:rsidRDefault="00000000" w:rsidRPr="00000000" w14:paraId="000001CA">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Spawalnictwo - Badania nieniszczące złączy spawanych -- Badania wizualne</w:t>
            </w:r>
          </w:p>
        </w:tc>
      </w:tr>
      <w:tr>
        <w:trPr>
          <w:cantSplit w:val="0"/>
          <w:tblHeader w:val="0"/>
        </w:trPr>
        <w:tc>
          <w:tcPr/>
          <w:p w:rsidR="00000000" w:rsidDel="00000000" w:rsidP="00000000" w:rsidRDefault="00000000" w:rsidRPr="00000000" w14:paraId="000001CB">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PN ISO 4200:1998</w:t>
            </w:r>
          </w:p>
        </w:tc>
        <w:tc>
          <w:tcPr/>
          <w:p w:rsidR="00000000" w:rsidDel="00000000" w:rsidP="00000000" w:rsidRDefault="00000000" w:rsidRPr="00000000" w14:paraId="000001CC">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tl w:val="0"/>
              </w:rPr>
            </w:r>
          </w:p>
        </w:tc>
        <w:tc>
          <w:tcPr/>
          <w:p w:rsidR="00000000" w:rsidDel="00000000" w:rsidP="00000000" w:rsidRDefault="00000000" w:rsidRPr="00000000" w14:paraId="000001CD">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Rury stalowe bez szwu i ze szwem o gładkich końcówkach. Wymiary i masy na jednostkę długości.</w:t>
            </w:r>
          </w:p>
        </w:tc>
      </w:tr>
      <w:tr>
        <w:trPr>
          <w:cantSplit w:val="0"/>
          <w:tblHeader w:val="0"/>
        </w:trPr>
        <w:tc>
          <w:tcPr/>
          <w:p w:rsidR="00000000" w:rsidDel="00000000" w:rsidP="00000000" w:rsidRDefault="00000000" w:rsidRPr="00000000" w14:paraId="000001CE">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PN ISO 6761:1996</w:t>
            </w:r>
          </w:p>
        </w:tc>
        <w:tc>
          <w:tcPr/>
          <w:p w:rsidR="00000000" w:rsidDel="00000000" w:rsidP="00000000" w:rsidRDefault="00000000" w:rsidRPr="00000000" w14:paraId="000001CF">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tl w:val="0"/>
              </w:rPr>
            </w:r>
          </w:p>
        </w:tc>
        <w:tc>
          <w:tcPr/>
          <w:p w:rsidR="00000000" w:rsidDel="00000000" w:rsidP="00000000" w:rsidRDefault="00000000" w:rsidRPr="00000000" w14:paraId="000001D0">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Rury stalowe. Przygotowanie końców rur i kształtek do spawania.</w:t>
            </w:r>
          </w:p>
        </w:tc>
      </w:tr>
      <w:tr>
        <w:trPr>
          <w:cantSplit w:val="0"/>
          <w:tblHeader w:val="0"/>
        </w:trPr>
        <w:tc>
          <w:tcPr/>
          <w:p w:rsidR="00000000" w:rsidDel="00000000" w:rsidP="00000000" w:rsidRDefault="00000000" w:rsidRPr="00000000" w14:paraId="000001D1">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PN-EN 10220:2005</w:t>
            </w:r>
          </w:p>
        </w:tc>
        <w:tc>
          <w:tcPr/>
          <w:p w:rsidR="00000000" w:rsidDel="00000000" w:rsidP="00000000" w:rsidRDefault="00000000" w:rsidRPr="00000000" w14:paraId="000001D2">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tl w:val="0"/>
              </w:rPr>
            </w:r>
          </w:p>
        </w:tc>
        <w:tc>
          <w:tcPr/>
          <w:p w:rsidR="00000000" w:rsidDel="00000000" w:rsidP="00000000" w:rsidRDefault="00000000" w:rsidRPr="00000000" w14:paraId="000001D3">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Rury stalowe bez szwu i ze szwem - Wymiary i masy na jednostkę długości</w:t>
            </w:r>
          </w:p>
        </w:tc>
      </w:tr>
      <w:tr>
        <w:trPr>
          <w:cantSplit w:val="0"/>
          <w:tblHeader w:val="0"/>
        </w:trPr>
        <w:tc>
          <w:tcPr/>
          <w:p w:rsidR="00000000" w:rsidDel="00000000" w:rsidP="00000000" w:rsidRDefault="00000000" w:rsidRPr="00000000" w14:paraId="000001D4">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PN-EN 10216-2:2014-02</w:t>
            </w:r>
          </w:p>
        </w:tc>
        <w:tc>
          <w:tcPr/>
          <w:p w:rsidR="00000000" w:rsidDel="00000000" w:rsidP="00000000" w:rsidRDefault="00000000" w:rsidRPr="00000000" w14:paraId="000001D5">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tl w:val="0"/>
              </w:rPr>
            </w:r>
          </w:p>
        </w:tc>
        <w:tc>
          <w:tcPr/>
          <w:p w:rsidR="00000000" w:rsidDel="00000000" w:rsidP="00000000" w:rsidRDefault="00000000" w:rsidRPr="00000000" w14:paraId="000001D6">
            <w:pPr>
              <w:pBdr>
                <w:top w:space="0" w:sz="0" w:val="nil"/>
                <w:left w:space="0" w:sz="0" w:val="nil"/>
                <w:bottom w:space="0" w:sz="0" w:val="nil"/>
                <w:right w:space="0" w:sz="0" w:val="nil"/>
                <w:between w:space="0" w:sz="0" w:val="nil"/>
              </w:pBdr>
              <w:spacing w:after="0"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Rury stalowe bez szwu do zastosowań ciśnieniowych - Warunki techniczne dostawy - Część 2: Rury ze stali niestopowych z określonymi własnościami w temperaturze podwyższonej</w:t>
            </w:r>
          </w:p>
          <w:p w:rsidR="00000000" w:rsidDel="00000000" w:rsidP="00000000" w:rsidRDefault="00000000" w:rsidRPr="00000000" w14:paraId="000001D7">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tl w:val="0"/>
              </w:rPr>
            </w:r>
          </w:p>
        </w:tc>
      </w:tr>
      <w:tr>
        <w:trPr>
          <w:cantSplit w:val="0"/>
          <w:tblHeader w:val="0"/>
        </w:trPr>
        <w:tc>
          <w:tcPr/>
          <w:p w:rsidR="00000000" w:rsidDel="00000000" w:rsidP="00000000" w:rsidRDefault="00000000" w:rsidRPr="00000000" w14:paraId="000001D8">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PN-EN10217-5: 2004/A1:2006</w:t>
            </w:r>
          </w:p>
        </w:tc>
        <w:tc>
          <w:tcPr/>
          <w:p w:rsidR="00000000" w:rsidDel="00000000" w:rsidP="00000000" w:rsidRDefault="00000000" w:rsidRPr="00000000" w14:paraId="000001D9">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tl w:val="0"/>
              </w:rPr>
            </w:r>
          </w:p>
        </w:tc>
        <w:tc>
          <w:tcPr/>
          <w:p w:rsidR="00000000" w:rsidDel="00000000" w:rsidP="00000000" w:rsidRDefault="00000000" w:rsidRPr="00000000" w14:paraId="000001DA">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Rury stalowe ze szwem do zastosowań ciśnieniowych - Warunki techniczne dostawy - Część 5: Rury ze stali niestopowych i stopowych spawane łukiem krytym z określonymi własnościami w temperaturze podwyższonej</w:t>
            </w:r>
          </w:p>
        </w:tc>
      </w:tr>
      <w:tr>
        <w:trPr>
          <w:cantSplit w:val="0"/>
          <w:tblHeader w:val="0"/>
        </w:trPr>
        <w:tc>
          <w:tcPr/>
          <w:p w:rsidR="00000000" w:rsidDel="00000000" w:rsidP="00000000" w:rsidRDefault="00000000" w:rsidRPr="00000000" w14:paraId="000001DB">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hyperlink r:id="rId11">
              <w:r w:rsidDel="00000000" w:rsidR="00000000" w:rsidRPr="00000000">
                <w:rPr>
                  <w:rFonts w:ascii="Calibri" w:cs="Calibri" w:eastAsia="Calibri" w:hAnsi="Calibri"/>
                  <w:color w:val="000000"/>
                  <w:sz w:val="22"/>
                  <w:szCs w:val="22"/>
                  <w:rtl w:val="0"/>
                </w:rPr>
                <w:t xml:space="preserve">PN-ISO 6761:1996</w:t>
              </w:r>
            </w:hyperlink>
            <w:r w:rsidDel="00000000" w:rsidR="00000000" w:rsidRPr="00000000">
              <w:rPr>
                <w:rtl w:val="0"/>
              </w:rPr>
            </w:r>
          </w:p>
        </w:tc>
        <w:tc>
          <w:tcPr/>
          <w:p w:rsidR="00000000" w:rsidDel="00000000" w:rsidP="00000000" w:rsidRDefault="00000000" w:rsidRPr="00000000" w14:paraId="000001DC">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tl w:val="0"/>
              </w:rPr>
            </w:r>
          </w:p>
        </w:tc>
        <w:tc>
          <w:tcPr/>
          <w:p w:rsidR="00000000" w:rsidDel="00000000" w:rsidP="00000000" w:rsidRDefault="00000000" w:rsidRPr="00000000" w14:paraId="000001DD">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Rury stalowe - Przygotowanie końców rur i kształtek do spawania</w:t>
            </w:r>
          </w:p>
        </w:tc>
      </w:tr>
      <w:tr>
        <w:trPr>
          <w:cantSplit w:val="0"/>
          <w:tblHeader w:val="0"/>
        </w:trPr>
        <w:tc>
          <w:tcPr/>
          <w:p w:rsidR="00000000" w:rsidDel="00000000" w:rsidP="00000000" w:rsidRDefault="00000000" w:rsidRPr="00000000" w14:paraId="000001DE">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hyperlink r:id="rId12">
              <w:r w:rsidDel="00000000" w:rsidR="00000000" w:rsidRPr="00000000">
                <w:rPr>
                  <w:rFonts w:ascii="Calibri" w:cs="Calibri" w:eastAsia="Calibri" w:hAnsi="Calibri"/>
                  <w:color w:val="000000"/>
                  <w:sz w:val="22"/>
                  <w:szCs w:val="22"/>
                  <w:rtl w:val="0"/>
                </w:rPr>
                <w:t xml:space="preserve">PN-EN 10246-10: 2002</w:t>
              </w:r>
            </w:hyperlink>
            <w:r w:rsidDel="00000000" w:rsidR="00000000" w:rsidRPr="00000000">
              <w:rPr>
                <w:rtl w:val="0"/>
              </w:rPr>
            </w:r>
          </w:p>
        </w:tc>
        <w:tc>
          <w:tcPr/>
          <w:p w:rsidR="00000000" w:rsidDel="00000000" w:rsidP="00000000" w:rsidRDefault="00000000" w:rsidRPr="00000000" w14:paraId="000001DF">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tl w:val="0"/>
              </w:rPr>
            </w:r>
          </w:p>
        </w:tc>
        <w:tc>
          <w:tcPr/>
          <w:p w:rsidR="00000000" w:rsidDel="00000000" w:rsidP="00000000" w:rsidRDefault="00000000" w:rsidRPr="00000000" w14:paraId="000001E0">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Radiografia przemysłowa - Radiogramy spoin czołowych w złączach doczołowych ze stali - Wymagania i wytyczne wykonania</w:t>
            </w:r>
          </w:p>
        </w:tc>
      </w:tr>
      <w:tr>
        <w:trPr>
          <w:cantSplit w:val="0"/>
          <w:tblHeader w:val="0"/>
        </w:trPr>
        <w:tc>
          <w:tcPr/>
          <w:p w:rsidR="00000000" w:rsidDel="00000000" w:rsidP="00000000" w:rsidRDefault="00000000" w:rsidRPr="00000000" w14:paraId="000001E1">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hyperlink r:id="rId13">
              <w:r w:rsidDel="00000000" w:rsidR="00000000" w:rsidRPr="00000000">
                <w:rPr>
                  <w:rFonts w:ascii="Calibri" w:cs="Calibri" w:eastAsia="Calibri" w:hAnsi="Calibri"/>
                  <w:color w:val="000000"/>
                  <w:sz w:val="22"/>
                  <w:szCs w:val="22"/>
                  <w:rtl w:val="0"/>
                </w:rPr>
                <w:t xml:space="preserve">PN-EN 12517:2001</w:t>
              </w:r>
            </w:hyperlink>
            <w:r w:rsidDel="00000000" w:rsidR="00000000" w:rsidRPr="00000000">
              <w:rPr>
                <w:rtl w:val="0"/>
              </w:rPr>
            </w:r>
          </w:p>
        </w:tc>
        <w:tc>
          <w:tcPr/>
          <w:p w:rsidR="00000000" w:rsidDel="00000000" w:rsidP="00000000" w:rsidRDefault="00000000" w:rsidRPr="00000000" w14:paraId="000001E2">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tl w:val="0"/>
              </w:rPr>
            </w:r>
          </w:p>
        </w:tc>
        <w:tc>
          <w:tcPr/>
          <w:p w:rsidR="00000000" w:rsidDel="00000000" w:rsidP="00000000" w:rsidRDefault="00000000" w:rsidRPr="00000000" w14:paraId="000001E3">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Spawalnictwo - Klasyfikacja wadliwości złączy spawanych na podstawie radiogramów</w:t>
            </w:r>
          </w:p>
        </w:tc>
      </w:tr>
      <w:tr>
        <w:trPr>
          <w:cantSplit w:val="0"/>
          <w:tblHeader w:val="0"/>
        </w:trPr>
        <w:tc>
          <w:tcPr/>
          <w:p w:rsidR="00000000" w:rsidDel="00000000" w:rsidP="00000000" w:rsidRDefault="00000000" w:rsidRPr="00000000" w14:paraId="000001E4">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hyperlink r:id="rId14">
              <w:r w:rsidDel="00000000" w:rsidR="00000000" w:rsidRPr="00000000">
                <w:rPr>
                  <w:rFonts w:ascii="Calibri" w:cs="Calibri" w:eastAsia="Calibri" w:hAnsi="Calibri"/>
                  <w:color w:val="000000"/>
                  <w:sz w:val="22"/>
                  <w:szCs w:val="22"/>
                  <w:rtl w:val="0"/>
                </w:rPr>
                <w:t xml:space="preserve">PN-EN 970:1999</w:t>
              </w:r>
            </w:hyperlink>
            <w:r w:rsidDel="00000000" w:rsidR="00000000" w:rsidRPr="00000000">
              <w:rPr>
                <w:rtl w:val="0"/>
              </w:rPr>
            </w:r>
          </w:p>
        </w:tc>
        <w:tc>
          <w:tcPr/>
          <w:p w:rsidR="00000000" w:rsidDel="00000000" w:rsidP="00000000" w:rsidRDefault="00000000" w:rsidRPr="00000000" w14:paraId="000001E5">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tl w:val="0"/>
              </w:rPr>
            </w:r>
          </w:p>
        </w:tc>
        <w:tc>
          <w:tcPr/>
          <w:p w:rsidR="00000000" w:rsidDel="00000000" w:rsidP="00000000" w:rsidRDefault="00000000" w:rsidRPr="00000000" w14:paraId="000001E6">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Spawalnictwo - Wadliwość złączy spawanych - Oznaczanie klasy wadliwości na podstawie oględzin zewnętrznych</w:t>
            </w:r>
          </w:p>
        </w:tc>
      </w:tr>
      <w:tr>
        <w:trPr>
          <w:cantSplit w:val="0"/>
          <w:tblHeader w:val="0"/>
        </w:trPr>
        <w:tc>
          <w:tcPr/>
          <w:p w:rsidR="00000000" w:rsidDel="00000000" w:rsidP="00000000" w:rsidRDefault="00000000" w:rsidRPr="00000000" w14:paraId="000001E7">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hyperlink r:id="rId15">
              <w:r w:rsidDel="00000000" w:rsidR="00000000" w:rsidRPr="00000000">
                <w:rPr>
                  <w:rFonts w:ascii="Calibri" w:cs="Calibri" w:eastAsia="Calibri" w:hAnsi="Calibri"/>
                  <w:color w:val="000000"/>
                  <w:sz w:val="22"/>
                  <w:szCs w:val="22"/>
                  <w:rtl w:val="0"/>
                </w:rPr>
                <w:t xml:space="preserve">PN-EN 1712:2001</w:t>
              </w:r>
            </w:hyperlink>
            <w:r w:rsidDel="00000000" w:rsidR="00000000" w:rsidRPr="00000000">
              <w:rPr>
                <w:rtl w:val="0"/>
              </w:rPr>
            </w:r>
          </w:p>
        </w:tc>
        <w:tc>
          <w:tcPr/>
          <w:p w:rsidR="00000000" w:rsidDel="00000000" w:rsidP="00000000" w:rsidRDefault="00000000" w:rsidRPr="00000000" w14:paraId="000001E8">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tl w:val="0"/>
              </w:rPr>
            </w:r>
          </w:p>
        </w:tc>
        <w:tc>
          <w:tcPr/>
          <w:p w:rsidR="00000000" w:rsidDel="00000000" w:rsidP="00000000" w:rsidRDefault="00000000" w:rsidRPr="00000000" w14:paraId="000001E9">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Spawalnictwo - Klasyfikacja wadliwości złączy spawanych na podstawie wyników badań ultradźwiękowych</w:t>
            </w:r>
          </w:p>
        </w:tc>
      </w:tr>
      <w:tr>
        <w:trPr>
          <w:cantSplit w:val="0"/>
          <w:tblHeader w:val="0"/>
        </w:trPr>
        <w:tc>
          <w:tcPr/>
          <w:p w:rsidR="00000000" w:rsidDel="00000000" w:rsidP="00000000" w:rsidRDefault="00000000" w:rsidRPr="00000000" w14:paraId="000001EA">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hyperlink r:id="rId16">
              <w:r w:rsidDel="00000000" w:rsidR="00000000" w:rsidRPr="00000000">
                <w:rPr>
                  <w:rFonts w:ascii="Calibri" w:cs="Calibri" w:eastAsia="Calibri" w:hAnsi="Calibri"/>
                  <w:color w:val="000000"/>
                  <w:sz w:val="22"/>
                  <w:szCs w:val="22"/>
                  <w:rtl w:val="0"/>
                </w:rPr>
                <w:t xml:space="preserve">PN-EN 13480-1: 2005</w:t>
              </w:r>
            </w:hyperlink>
            <w:r w:rsidDel="00000000" w:rsidR="00000000" w:rsidRPr="00000000">
              <w:rPr>
                <w:rFonts w:ascii="Calibri" w:cs="Calibri" w:eastAsia="Calibri" w:hAnsi="Calibri"/>
                <w:color w:val="000000"/>
                <w:sz w:val="22"/>
                <w:szCs w:val="22"/>
                <w:rtl w:val="0"/>
              </w:rPr>
              <w:t xml:space="preserve"> </w:t>
            </w:r>
          </w:p>
        </w:tc>
        <w:tc>
          <w:tcPr/>
          <w:p w:rsidR="00000000" w:rsidDel="00000000" w:rsidP="00000000" w:rsidRDefault="00000000" w:rsidRPr="00000000" w14:paraId="000001EB">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tl w:val="0"/>
              </w:rPr>
            </w:r>
          </w:p>
        </w:tc>
        <w:tc>
          <w:tcPr/>
          <w:p w:rsidR="00000000" w:rsidDel="00000000" w:rsidP="00000000" w:rsidRDefault="00000000" w:rsidRPr="00000000" w14:paraId="000001EC">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Rurociągi pary i wody gorącej - Ogólne wymagania i badania</w:t>
            </w:r>
          </w:p>
        </w:tc>
      </w:tr>
      <w:tr>
        <w:trPr>
          <w:cantSplit w:val="0"/>
          <w:tblHeader w:val="0"/>
        </w:trPr>
        <w:tc>
          <w:tcPr/>
          <w:p w:rsidR="00000000" w:rsidDel="00000000" w:rsidP="00000000" w:rsidRDefault="00000000" w:rsidRPr="00000000" w14:paraId="000001ED">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PN-B-10405/1999</w:t>
            </w:r>
          </w:p>
        </w:tc>
        <w:tc>
          <w:tcPr/>
          <w:p w:rsidR="00000000" w:rsidDel="00000000" w:rsidP="00000000" w:rsidRDefault="00000000" w:rsidRPr="00000000" w14:paraId="000001EE">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tl w:val="0"/>
              </w:rPr>
            </w:r>
          </w:p>
        </w:tc>
        <w:tc>
          <w:tcPr/>
          <w:p w:rsidR="00000000" w:rsidDel="00000000" w:rsidP="00000000" w:rsidRDefault="00000000" w:rsidRPr="00000000" w14:paraId="000001EF">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Sieci ciepłownicze. Wymagania i badania przy odbiorze.</w:t>
            </w:r>
          </w:p>
        </w:tc>
      </w:tr>
      <w:tr>
        <w:trPr>
          <w:cantSplit w:val="0"/>
          <w:tblHeader w:val="0"/>
        </w:trPr>
        <w:tc>
          <w:tcPr/>
          <w:p w:rsidR="00000000" w:rsidDel="00000000" w:rsidP="00000000" w:rsidRDefault="00000000" w:rsidRPr="00000000" w14:paraId="000001F0">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PN-B-02421/2000</w:t>
            </w:r>
          </w:p>
        </w:tc>
        <w:tc>
          <w:tcPr/>
          <w:p w:rsidR="00000000" w:rsidDel="00000000" w:rsidP="00000000" w:rsidRDefault="00000000" w:rsidRPr="00000000" w14:paraId="000001F1">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tl w:val="0"/>
              </w:rPr>
            </w:r>
          </w:p>
        </w:tc>
        <w:tc>
          <w:tcPr/>
          <w:p w:rsidR="00000000" w:rsidDel="00000000" w:rsidP="00000000" w:rsidRDefault="00000000" w:rsidRPr="00000000" w14:paraId="000001F2">
            <w:pPr>
              <w:pBdr>
                <w:top w:space="0" w:sz="0" w:val="nil"/>
                <w:left w:space="0" w:sz="0" w:val="nil"/>
                <w:bottom w:space="0" w:sz="0" w:val="nil"/>
                <w:right w:space="0" w:sz="0" w:val="nil"/>
                <w:between w:space="0" w:sz="0" w:val="nil"/>
              </w:pBdr>
              <w:spacing w:line="240" w:lineRule="auto"/>
              <w:ind w:left="0" w:hanging="2"/>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Izolacja cieplna rurociągów, armatury i urządzeń. Wymagania i badania</w:t>
            </w:r>
          </w:p>
        </w:tc>
      </w:tr>
    </w:tbl>
    <w:p w:rsidR="00000000" w:rsidDel="00000000" w:rsidP="00000000" w:rsidRDefault="00000000" w:rsidRPr="00000000" w14:paraId="000001F3">
      <w:pPr>
        <w:pBdr>
          <w:top w:space="0" w:sz="0" w:val="nil"/>
          <w:left w:space="0" w:sz="0" w:val="nil"/>
          <w:bottom w:space="0" w:sz="0" w:val="nil"/>
          <w:right w:space="0" w:sz="0" w:val="nil"/>
          <w:between w:space="0" w:sz="0" w:val="nil"/>
        </w:pBdr>
        <w:spacing w:line="240" w:lineRule="auto"/>
        <w:ind w:left="0" w:right="72" w:hanging="2"/>
        <w:rPr>
          <w:rFonts w:ascii="Calibri" w:cs="Calibri" w:eastAsia="Calibri" w:hAnsi="Calibri"/>
          <w:color w:val="000000"/>
          <w:sz w:val="22"/>
          <w:szCs w:val="22"/>
        </w:rPr>
      </w:pPr>
      <w:r w:rsidDel="00000000" w:rsidR="00000000" w:rsidRPr="00000000">
        <w:rPr>
          <w:rtl w:val="0"/>
        </w:rPr>
      </w:r>
    </w:p>
    <w:sectPr>
      <w:footerReference r:id="rId17" w:type="default"/>
      <w:pgSz w:h="16838" w:w="11906" w:orient="portrait"/>
      <w:pgMar w:bottom="1417" w:top="1417" w:left="1134" w:right="1133"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Calibri"/>
  <w:font w:name="Times New Roman"/>
  <w:font w:name="Courier New"/>
  <w:font w:name="Tahoma">
    <w:embedRegular w:fontKey="{00000000-0000-0000-0000-000000000000}" r:id="rId1" w:subsetted="0"/>
    <w:embedBold w:fontKey="{00000000-0000-0000-0000-000000000000}" r:id="rId2" w:subsetted="0"/>
  </w:font>
  <w:font w:name="Noto Sans Symbols">
    <w:embedRegular w:fontKey="{00000000-0000-0000-0000-000000000000}" r:id="rId3" w:subsetted="0"/>
    <w:embedBold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F4">
    <w:pPr>
      <w:pBdr>
        <w:top w:space="0" w:sz="0" w:val="nil"/>
        <w:left w:space="0" w:sz="0" w:val="nil"/>
        <w:bottom w:space="0" w:sz="0" w:val="nil"/>
        <w:right w:space="0" w:sz="0" w:val="nil"/>
        <w:between w:space="0" w:sz="0" w:val="nil"/>
      </w:pBdr>
      <w:tabs>
        <w:tab w:val="center" w:leader="none" w:pos="4536"/>
        <w:tab w:val="right" w:leader="none" w:pos="9072"/>
      </w:tabs>
      <w:spacing w:line="240" w:lineRule="auto"/>
      <w:ind w:left="0" w:right="360" w:hanging="2"/>
      <w:rPr>
        <w:color w:val="000000"/>
      </w:rPr>
    </w:pPr>
    <w:r w:rsidDel="00000000" w:rsidR="00000000" w:rsidRPr="00000000">
      <w:rPr/>
      <w:fldChar w:fldCharType="begin"/>
      <w:instrText xml:space="preserve">PAGE</w:instrText>
      <w:fldChar w:fldCharType="separate"/>
      <w:fldChar w:fldCharType="end"/>
    </w: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2">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
    <w:lvl w:ilvl="0">
      <w:start w:val="1"/>
      <w:numFmt w:val="decimal"/>
      <w:lvlText w:val="%1)"/>
      <w:lvlJc w:val="left"/>
      <w:pPr>
        <w:ind w:left="720" w:hanging="360"/>
      </w:pPr>
      <w:rPr>
        <w:rFonts w:ascii="Calibri" w:cs="Calibri" w:eastAsia="Calibri" w:hAnsi="Calibri"/>
        <w:b w:val="0"/>
        <w:bCs w:val="0"/>
        <w:sz w:val="22"/>
        <w:szCs w:val="22"/>
        <w:u w:val="single"/>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
    <w:lvl w:ilvl="0">
      <w:start w:val="1"/>
      <w:numFmt w:val="lowerLetter"/>
      <w:lvlText w:val="%1)"/>
      <w:lvlJc w:val="left"/>
      <w:pPr>
        <w:ind w:left="1566" w:hanging="360"/>
      </w:pPr>
      <w:rPr>
        <w:vertAlign w:val="baseline"/>
      </w:rPr>
    </w:lvl>
    <w:lvl w:ilvl="1">
      <w:start w:val="1"/>
      <w:numFmt w:val="lowerLetter"/>
      <w:lvlText w:val="%2."/>
      <w:lvlJc w:val="left"/>
      <w:pPr>
        <w:ind w:left="2286" w:hanging="360"/>
      </w:pPr>
      <w:rPr>
        <w:vertAlign w:val="baseline"/>
      </w:rPr>
    </w:lvl>
    <w:lvl w:ilvl="2">
      <w:start w:val="1"/>
      <w:numFmt w:val="lowerRoman"/>
      <w:lvlText w:val="%3."/>
      <w:lvlJc w:val="right"/>
      <w:pPr>
        <w:ind w:left="3006" w:hanging="180"/>
      </w:pPr>
      <w:rPr>
        <w:vertAlign w:val="baseline"/>
      </w:rPr>
    </w:lvl>
    <w:lvl w:ilvl="3">
      <w:start w:val="1"/>
      <w:numFmt w:val="decimal"/>
      <w:lvlText w:val="%4."/>
      <w:lvlJc w:val="left"/>
      <w:pPr>
        <w:ind w:left="3726" w:hanging="360"/>
      </w:pPr>
      <w:rPr>
        <w:vertAlign w:val="baseline"/>
      </w:rPr>
    </w:lvl>
    <w:lvl w:ilvl="4">
      <w:start w:val="1"/>
      <w:numFmt w:val="lowerLetter"/>
      <w:lvlText w:val="%5."/>
      <w:lvlJc w:val="left"/>
      <w:pPr>
        <w:ind w:left="4446" w:hanging="360"/>
      </w:pPr>
      <w:rPr>
        <w:vertAlign w:val="baseline"/>
      </w:rPr>
    </w:lvl>
    <w:lvl w:ilvl="5">
      <w:start w:val="1"/>
      <w:numFmt w:val="lowerRoman"/>
      <w:lvlText w:val="%6."/>
      <w:lvlJc w:val="right"/>
      <w:pPr>
        <w:ind w:left="5166" w:hanging="180"/>
      </w:pPr>
      <w:rPr>
        <w:vertAlign w:val="baseline"/>
      </w:rPr>
    </w:lvl>
    <w:lvl w:ilvl="6">
      <w:start w:val="1"/>
      <w:numFmt w:val="decimal"/>
      <w:lvlText w:val="%7."/>
      <w:lvlJc w:val="left"/>
      <w:pPr>
        <w:ind w:left="5886" w:hanging="360"/>
      </w:pPr>
      <w:rPr>
        <w:vertAlign w:val="baseline"/>
      </w:rPr>
    </w:lvl>
    <w:lvl w:ilvl="7">
      <w:start w:val="1"/>
      <w:numFmt w:val="lowerLetter"/>
      <w:lvlText w:val="%8."/>
      <w:lvlJc w:val="left"/>
      <w:pPr>
        <w:ind w:left="6606" w:hanging="360"/>
      </w:pPr>
      <w:rPr>
        <w:vertAlign w:val="baseline"/>
      </w:rPr>
    </w:lvl>
    <w:lvl w:ilvl="8">
      <w:start w:val="1"/>
      <w:numFmt w:val="lowerRoman"/>
      <w:lvlText w:val="%9."/>
      <w:lvlJc w:val="right"/>
      <w:pPr>
        <w:ind w:left="7326" w:hanging="180"/>
      </w:pPr>
      <w:rPr>
        <w:vertAlign w:val="baseline"/>
      </w:rPr>
    </w:lvl>
  </w:abstractNum>
  <w:abstractNum w:abstractNumId="5">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6">
    <w:lvl w:ilvl="0">
      <w:start w:val="1"/>
      <w:numFmt w:val="decimal"/>
      <w:lvlText w:val="%1)"/>
      <w:lvlJc w:val="left"/>
      <w:pPr>
        <w:ind w:left="357" w:hanging="357"/>
      </w:pPr>
      <w:rPr>
        <w:vertAlign w:val="baseline"/>
      </w:rPr>
    </w:lvl>
    <w:lvl w:ilvl="1">
      <w:start w:val="2"/>
      <w:numFmt w:val="decimal"/>
      <w:lvlText w:val="%1.%2."/>
      <w:lvlJc w:val="left"/>
      <w:pPr>
        <w:ind w:left="1271" w:hanging="420"/>
      </w:pPr>
      <w:rPr>
        <w:rFonts w:ascii="Tahoma" w:cs="Tahoma" w:eastAsia="Tahoma" w:hAnsi="Tahoma"/>
        <w:vertAlign w:val="baseline"/>
      </w:rPr>
    </w:lvl>
    <w:lvl w:ilvl="2">
      <w:start w:val="1"/>
      <w:numFmt w:val="decimal"/>
      <w:lvlText w:val="%1.%2.%3."/>
      <w:lvlJc w:val="left"/>
      <w:pPr>
        <w:ind w:left="2422" w:hanging="720"/>
      </w:pPr>
      <w:rPr>
        <w:rFonts w:ascii="Tahoma" w:cs="Tahoma" w:eastAsia="Tahoma" w:hAnsi="Tahoma"/>
        <w:vertAlign w:val="baseline"/>
      </w:rPr>
    </w:lvl>
    <w:lvl w:ilvl="3">
      <w:start w:val="1"/>
      <w:numFmt w:val="decimal"/>
      <w:lvlText w:val="%1.%2.%3.%4."/>
      <w:lvlJc w:val="left"/>
      <w:pPr>
        <w:ind w:left="3273" w:hanging="720"/>
      </w:pPr>
      <w:rPr>
        <w:rFonts w:ascii="Tahoma" w:cs="Tahoma" w:eastAsia="Tahoma" w:hAnsi="Tahoma"/>
        <w:vertAlign w:val="baseline"/>
      </w:rPr>
    </w:lvl>
    <w:lvl w:ilvl="4">
      <w:start w:val="1"/>
      <w:numFmt w:val="decimal"/>
      <w:lvlText w:val="%1.%2.%3.%4.%5."/>
      <w:lvlJc w:val="left"/>
      <w:pPr>
        <w:ind w:left="4484" w:hanging="1080"/>
      </w:pPr>
      <w:rPr>
        <w:rFonts w:ascii="Tahoma" w:cs="Tahoma" w:eastAsia="Tahoma" w:hAnsi="Tahoma"/>
        <w:vertAlign w:val="baseline"/>
      </w:rPr>
    </w:lvl>
    <w:lvl w:ilvl="5">
      <w:start w:val="1"/>
      <w:numFmt w:val="decimal"/>
      <w:lvlText w:val="%1.%2.%3.%4.%5.%6."/>
      <w:lvlJc w:val="left"/>
      <w:pPr>
        <w:ind w:left="5335" w:hanging="1080"/>
      </w:pPr>
      <w:rPr>
        <w:rFonts w:ascii="Tahoma" w:cs="Tahoma" w:eastAsia="Tahoma" w:hAnsi="Tahoma"/>
        <w:vertAlign w:val="baseline"/>
      </w:rPr>
    </w:lvl>
    <w:lvl w:ilvl="6">
      <w:start w:val="1"/>
      <w:numFmt w:val="decimal"/>
      <w:lvlText w:val="%1.%2.%3.%4.%5.%6.%7."/>
      <w:lvlJc w:val="left"/>
      <w:pPr>
        <w:ind w:left="6546" w:hanging="1440"/>
      </w:pPr>
      <w:rPr>
        <w:rFonts w:ascii="Tahoma" w:cs="Tahoma" w:eastAsia="Tahoma" w:hAnsi="Tahoma"/>
        <w:vertAlign w:val="baseline"/>
      </w:rPr>
    </w:lvl>
    <w:lvl w:ilvl="7">
      <w:start w:val="1"/>
      <w:numFmt w:val="decimal"/>
      <w:lvlText w:val="%1.%2.%3.%4.%5.%6.%7.%8."/>
      <w:lvlJc w:val="left"/>
      <w:pPr>
        <w:ind w:left="7397" w:hanging="1440"/>
      </w:pPr>
      <w:rPr>
        <w:rFonts w:ascii="Tahoma" w:cs="Tahoma" w:eastAsia="Tahoma" w:hAnsi="Tahoma"/>
        <w:vertAlign w:val="baseline"/>
      </w:rPr>
    </w:lvl>
    <w:lvl w:ilvl="8">
      <w:start w:val="1"/>
      <w:numFmt w:val="decimal"/>
      <w:lvlText w:val="%1.%2.%3.%4.%5.%6.%7.%8.%9."/>
      <w:lvlJc w:val="left"/>
      <w:pPr>
        <w:ind w:left="8608" w:hanging="1800"/>
      </w:pPr>
      <w:rPr>
        <w:rFonts w:ascii="Tahoma" w:cs="Tahoma" w:eastAsia="Tahoma" w:hAnsi="Tahoma"/>
        <w:vertAlign w:val="baseline"/>
      </w:rPr>
    </w:lvl>
  </w:abstractNum>
  <w:abstractNum w:abstractNumId="7">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8">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9">
    <w:lvl w:ilvl="0">
      <w:start w:val="1"/>
      <w:numFmt w:val="decimal"/>
      <w:lvlText w:val="%1)"/>
      <w:lvlJc w:val="left"/>
      <w:pPr>
        <w:ind w:left="1287" w:hanging="360.00000000000045"/>
      </w:pPr>
      <w:rPr>
        <w:vertAlign w:val="baseline"/>
      </w:rPr>
    </w:lvl>
    <w:lvl w:ilvl="1">
      <w:start w:val="1"/>
      <w:numFmt w:val="lowerLetter"/>
      <w:lvlText w:val="%2."/>
      <w:lvlJc w:val="left"/>
      <w:pPr>
        <w:ind w:left="2007" w:hanging="360"/>
      </w:pPr>
      <w:rPr>
        <w:vertAlign w:val="baseline"/>
      </w:rPr>
    </w:lvl>
    <w:lvl w:ilvl="2">
      <w:start w:val="1"/>
      <w:numFmt w:val="lowerRoman"/>
      <w:lvlText w:val="%3."/>
      <w:lvlJc w:val="right"/>
      <w:pPr>
        <w:ind w:left="2727" w:hanging="180"/>
      </w:pPr>
      <w:rPr>
        <w:vertAlign w:val="baseline"/>
      </w:rPr>
    </w:lvl>
    <w:lvl w:ilvl="3">
      <w:start w:val="1"/>
      <w:numFmt w:val="decimal"/>
      <w:lvlText w:val="%4."/>
      <w:lvlJc w:val="left"/>
      <w:pPr>
        <w:ind w:left="3447" w:hanging="360"/>
      </w:pPr>
      <w:rPr>
        <w:vertAlign w:val="baseline"/>
      </w:rPr>
    </w:lvl>
    <w:lvl w:ilvl="4">
      <w:start w:val="1"/>
      <w:numFmt w:val="lowerLetter"/>
      <w:lvlText w:val="%5."/>
      <w:lvlJc w:val="left"/>
      <w:pPr>
        <w:ind w:left="4167" w:hanging="360"/>
      </w:pPr>
      <w:rPr>
        <w:vertAlign w:val="baseline"/>
      </w:rPr>
    </w:lvl>
    <w:lvl w:ilvl="5">
      <w:start w:val="1"/>
      <w:numFmt w:val="lowerRoman"/>
      <w:lvlText w:val="%6."/>
      <w:lvlJc w:val="right"/>
      <w:pPr>
        <w:ind w:left="4887" w:hanging="180"/>
      </w:pPr>
      <w:rPr>
        <w:vertAlign w:val="baseline"/>
      </w:rPr>
    </w:lvl>
    <w:lvl w:ilvl="6">
      <w:start w:val="1"/>
      <w:numFmt w:val="decimal"/>
      <w:lvlText w:val="%7."/>
      <w:lvlJc w:val="left"/>
      <w:pPr>
        <w:ind w:left="5607" w:hanging="360"/>
      </w:pPr>
      <w:rPr>
        <w:vertAlign w:val="baseline"/>
      </w:rPr>
    </w:lvl>
    <w:lvl w:ilvl="7">
      <w:start w:val="1"/>
      <w:numFmt w:val="lowerLetter"/>
      <w:lvlText w:val="%8."/>
      <w:lvlJc w:val="left"/>
      <w:pPr>
        <w:ind w:left="6327" w:hanging="360"/>
      </w:pPr>
      <w:rPr>
        <w:vertAlign w:val="baseline"/>
      </w:rPr>
    </w:lvl>
    <w:lvl w:ilvl="8">
      <w:start w:val="1"/>
      <w:numFmt w:val="lowerRoman"/>
      <w:lvlText w:val="%9."/>
      <w:lvlJc w:val="right"/>
      <w:pPr>
        <w:ind w:left="7047" w:hanging="180"/>
      </w:pPr>
      <w:rPr>
        <w:vertAlign w:val="baseline"/>
      </w:rPr>
    </w:lvl>
  </w:abstractNum>
  <w:abstractNum w:abstractNumId="10">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1">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2">
    <w:lvl w:ilvl="0">
      <w:start w:val="1"/>
      <w:numFmt w:val="decimal"/>
      <w:lvlText w:val="%1)"/>
      <w:lvlJc w:val="left"/>
      <w:pPr>
        <w:ind w:left="357" w:hanging="357"/>
      </w:pPr>
      <w:rPr>
        <w:vertAlign w:val="baseline"/>
      </w:rPr>
    </w:lvl>
    <w:lvl w:ilvl="1">
      <w:start w:val="2"/>
      <w:numFmt w:val="decimal"/>
      <w:lvlText w:val="%1.%2."/>
      <w:lvlJc w:val="left"/>
      <w:pPr>
        <w:ind w:left="1025" w:hanging="600"/>
      </w:pPr>
      <w:rPr>
        <w:rFonts w:ascii="Tahoma" w:cs="Tahoma" w:eastAsia="Tahoma" w:hAnsi="Tahoma"/>
        <w:vertAlign w:val="baseline"/>
      </w:rPr>
    </w:lvl>
    <w:lvl w:ilvl="2">
      <w:start w:val="2"/>
      <w:numFmt w:val="decimal"/>
      <w:lvlText w:val="%1.%2.%3."/>
      <w:lvlJc w:val="left"/>
      <w:pPr>
        <w:ind w:left="1570" w:hanging="720"/>
      </w:pPr>
      <w:rPr>
        <w:rFonts w:ascii="Tahoma" w:cs="Tahoma" w:eastAsia="Tahoma" w:hAnsi="Tahoma"/>
        <w:vertAlign w:val="baseline"/>
      </w:rPr>
    </w:lvl>
    <w:lvl w:ilvl="3">
      <w:start w:val="1"/>
      <w:numFmt w:val="decimal"/>
      <w:lvlText w:val="%1.%2.%3.%4."/>
      <w:lvlJc w:val="left"/>
      <w:pPr>
        <w:ind w:left="1995" w:hanging="720"/>
      </w:pPr>
      <w:rPr>
        <w:rFonts w:ascii="Tahoma" w:cs="Tahoma" w:eastAsia="Tahoma" w:hAnsi="Tahoma"/>
        <w:vertAlign w:val="baseline"/>
      </w:rPr>
    </w:lvl>
    <w:lvl w:ilvl="4">
      <w:start w:val="1"/>
      <w:numFmt w:val="decimal"/>
      <w:lvlText w:val="%1.%2.%3.%4.%5."/>
      <w:lvlJc w:val="left"/>
      <w:pPr>
        <w:ind w:left="2780" w:hanging="1080"/>
      </w:pPr>
      <w:rPr>
        <w:rFonts w:ascii="Tahoma" w:cs="Tahoma" w:eastAsia="Tahoma" w:hAnsi="Tahoma"/>
        <w:vertAlign w:val="baseline"/>
      </w:rPr>
    </w:lvl>
    <w:lvl w:ilvl="5">
      <w:start w:val="1"/>
      <w:numFmt w:val="decimal"/>
      <w:lvlText w:val="%1.%2.%3.%4.%5.%6."/>
      <w:lvlJc w:val="left"/>
      <w:pPr>
        <w:ind w:left="3205" w:hanging="1080"/>
      </w:pPr>
      <w:rPr>
        <w:rFonts w:ascii="Tahoma" w:cs="Tahoma" w:eastAsia="Tahoma" w:hAnsi="Tahoma"/>
        <w:vertAlign w:val="baseline"/>
      </w:rPr>
    </w:lvl>
    <w:lvl w:ilvl="6">
      <w:start w:val="1"/>
      <w:numFmt w:val="decimal"/>
      <w:lvlText w:val="%1.%2.%3.%4.%5.%6.%7."/>
      <w:lvlJc w:val="left"/>
      <w:pPr>
        <w:ind w:left="3990" w:hanging="1440"/>
      </w:pPr>
      <w:rPr>
        <w:rFonts w:ascii="Tahoma" w:cs="Tahoma" w:eastAsia="Tahoma" w:hAnsi="Tahoma"/>
        <w:vertAlign w:val="baseline"/>
      </w:rPr>
    </w:lvl>
    <w:lvl w:ilvl="7">
      <w:start w:val="1"/>
      <w:numFmt w:val="decimal"/>
      <w:lvlText w:val="%1.%2.%3.%4.%5.%6.%7.%8."/>
      <w:lvlJc w:val="left"/>
      <w:pPr>
        <w:ind w:left="4415" w:hanging="1440"/>
      </w:pPr>
      <w:rPr>
        <w:rFonts w:ascii="Tahoma" w:cs="Tahoma" w:eastAsia="Tahoma" w:hAnsi="Tahoma"/>
        <w:vertAlign w:val="baseline"/>
      </w:rPr>
    </w:lvl>
    <w:lvl w:ilvl="8">
      <w:start w:val="1"/>
      <w:numFmt w:val="decimal"/>
      <w:lvlText w:val="%1.%2.%3.%4.%5.%6.%7.%8.%9."/>
      <w:lvlJc w:val="left"/>
      <w:pPr>
        <w:ind w:left="5200" w:hanging="1800"/>
      </w:pPr>
      <w:rPr>
        <w:rFonts w:ascii="Tahoma" w:cs="Tahoma" w:eastAsia="Tahoma" w:hAnsi="Tahoma"/>
        <w:vertAlign w:val="baseline"/>
      </w:rPr>
    </w:lvl>
  </w:abstractNum>
  <w:abstractNum w:abstractNumId="13">
    <w:lvl w:ilvl="0">
      <w:start w:val="1"/>
      <w:numFmt w:val="decimal"/>
      <w:lvlText w:val="%1)"/>
      <w:lvlJc w:val="left"/>
      <w:pPr>
        <w:ind w:left="708" w:hanging="360"/>
      </w:pPr>
      <w:rPr>
        <w:rFonts w:ascii="Calibri" w:cs="Calibri" w:eastAsia="Calibri" w:hAnsi="Calibri"/>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4">
    <w:lvl w:ilvl="0">
      <w:start w:val="1"/>
      <w:numFmt w:val="decimal"/>
      <w:lvlText w:val="%1)"/>
      <w:lvlJc w:val="left"/>
      <w:pPr>
        <w:ind w:left="708"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5">
    <w:lvl w:ilvl="0">
      <w:start w:val="0"/>
      <w:numFmt w:val="bullet"/>
      <w:lvlText w:val="-"/>
      <w:lvlJc w:val="left"/>
      <w:pPr>
        <w:ind w:left="1636" w:hanging="360"/>
      </w:pPr>
      <w:rPr>
        <w:rFonts w:ascii="Times New Roman" w:cs="Times New Roman" w:eastAsia="Times New Roman" w:hAnsi="Times New Roman"/>
        <w:sz w:val="24"/>
        <w:szCs w:val="24"/>
        <w:vertAlign w:val="baseline"/>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16">
    <w:lvl w:ilvl="0">
      <w:start w:val="4"/>
      <w:numFmt w:val="decimal"/>
      <w:lvlText w:val="%1."/>
      <w:lvlJc w:val="left"/>
      <w:pPr>
        <w:ind w:left="720" w:hanging="360"/>
      </w:pPr>
      <w:rPr>
        <w:vertAlign w:val="baseline"/>
      </w:rPr>
    </w:lvl>
    <w:lvl w:ilvl="1">
      <w:start w:val="1"/>
      <w:numFmt w:val="lowerLetter"/>
      <w:lvlText w:val="%2)"/>
      <w:lvlJc w:val="left"/>
      <w:pPr>
        <w:ind w:left="1080" w:hanging="360"/>
      </w:pPr>
      <w:rPr>
        <w:vertAlign w:val="baseline"/>
      </w:rPr>
    </w:lvl>
    <w:lvl w:ilvl="2">
      <w:start w:val="1"/>
      <w:numFmt w:val="decimal"/>
      <w:lvlText w:val="%1.%2.%3."/>
      <w:lvlJc w:val="left"/>
      <w:pPr>
        <w:ind w:left="1440" w:hanging="360"/>
      </w:pPr>
      <w:rPr>
        <w:vertAlign w:val="baseline"/>
      </w:rPr>
    </w:lvl>
    <w:lvl w:ilvl="3">
      <w:start w:val="1"/>
      <w:numFmt w:val="decimal"/>
      <w:lvlText w:val="%1.%2.%3.%4."/>
      <w:lvlJc w:val="left"/>
      <w:pPr>
        <w:ind w:left="1800" w:hanging="360"/>
      </w:pPr>
      <w:rPr>
        <w:vertAlign w:val="baseline"/>
      </w:rPr>
    </w:lvl>
    <w:lvl w:ilvl="4">
      <w:start w:val="1"/>
      <w:numFmt w:val="decimal"/>
      <w:lvlText w:val="%1.%2.%3.%4.%5."/>
      <w:lvlJc w:val="left"/>
      <w:pPr>
        <w:ind w:left="2160" w:hanging="360"/>
      </w:pPr>
      <w:rPr>
        <w:vertAlign w:val="baseline"/>
      </w:rPr>
    </w:lvl>
    <w:lvl w:ilvl="5">
      <w:start w:val="1"/>
      <w:numFmt w:val="decimal"/>
      <w:lvlText w:val="%1.%2.%3.%4.%5.%6."/>
      <w:lvlJc w:val="left"/>
      <w:pPr>
        <w:ind w:left="2520" w:hanging="360"/>
      </w:pPr>
      <w:rPr>
        <w:vertAlign w:val="baseline"/>
      </w:rPr>
    </w:lvl>
    <w:lvl w:ilvl="6">
      <w:start w:val="1"/>
      <w:numFmt w:val="decimal"/>
      <w:lvlText w:val="%1.%2.%3.%4.%5.%6.%7."/>
      <w:lvlJc w:val="left"/>
      <w:pPr>
        <w:ind w:left="2880" w:hanging="360"/>
      </w:pPr>
      <w:rPr>
        <w:vertAlign w:val="baseline"/>
      </w:rPr>
    </w:lvl>
    <w:lvl w:ilvl="7">
      <w:start w:val="1"/>
      <w:numFmt w:val="decimal"/>
      <w:lvlText w:val="%1.%2.%3.%4.%5.%6.%7.%8."/>
      <w:lvlJc w:val="left"/>
      <w:pPr>
        <w:ind w:left="3240" w:hanging="360"/>
      </w:pPr>
      <w:rPr>
        <w:vertAlign w:val="baseline"/>
      </w:rPr>
    </w:lvl>
    <w:lvl w:ilvl="8">
      <w:start w:val="1"/>
      <w:numFmt w:val="decimal"/>
      <w:lvlText w:val="%1.%2.%3.%4.%5.%6.%7.%8.%9."/>
      <w:lvlJc w:val="left"/>
      <w:pPr>
        <w:ind w:left="3600" w:hanging="360"/>
      </w:pPr>
      <w:rPr>
        <w:vertAlign w:val="baseline"/>
      </w:rPr>
    </w:lvl>
  </w:abstractNum>
  <w:abstractNum w:abstractNumId="17">
    <w:lvl w:ilvl="0">
      <w:start w:val="1"/>
      <w:numFmt w:val="decimal"/>
      <w:lvlText w:val="%1)"/>
      <w:lvlJc w:val="left"/>
      <w:pPr>
        <w:ind w:left="708" w:hanging="435"/>
      </w:pPr>
      <w:rPr>
        <w:b w:val="0"/>
        <w:bCs w:val="0"/>
        <w:vertAlign w:val="baseline"/>
      </w:rPr>
    </w:lvl>
    <w:lvl w:ilvl="1">
      <w:start w:val="1"/>
      <w:numFmt w:val="lowerLetter"/>
      <w:lvlText w:val="%2."/>
      <w:lvlJc w:val="left"/>
      <w:pPr>
        <w:ind w:left="1554" w:hanging="360"/>
      </w:pPr>
      <w:rPr>
        <w:vertAlign w:val="baseline"/>
      </w:rPr>
    </w:lvl>
    <w:lvl w:ilvl="2">
      <w:start w:val="1"/>
      <w:numFmt w:val="lowerRoman"/>
      <w:lvlText w:val="%3."/>
      <w:lvlJc w:val="right"/>
      <w:pPr>
        <w:ind w:left="2274" w:hanging="180"/>
      </w:pPr>
      <w:rPr>
        <w:vertAlign w:val="baseline"/>
      </w:rPr>
    </w:lvl>
    <w:lvl w:ilvl="3">
      <w:start w:val="1"/>
      <w:numFmt w:val="decimal"/>
      <w:lvlText w:val="%4."/>
      <w:lvlJc w:val="left"/>
      <w:pPr>
        <w:ind w:left="2994" w:hanging="360"/>
      </w:pPr>
      <w:rPr>
        <w:vertAlign w:val="baseline"/>
      </w:rPr>
    </w:lvl>
    <w:lvl w:ilvl="4">
      <w:start w:val="1"/>
      <w:numFmt w:val="lowerLetter"/>
      <w:lvlText w:val="%5."/>
      <w:lvlJc w:val="left"/>
      <w:pPr>
        <w:ind w:left="3714" w:hanging="360"/>
      </w:pPr>
      <w:rPr>
        <w:vertAlign w:val="baseline"/>
      </w:rPr>
    </w:lvl>
    <w:lvl w:ilvl="5">
      <w:start w:val="1"/>
      <w:numFmt w:val="lowerRoman"/>
      <w:lvlText w:val="%6."/>
      <w:lvlJc w:val="right"/>
      <w:pPr>
        <w:ind w:left="4434" w:hanging="180"/>
      </w:pPr>
      <w:rPr>
        <w:vertAlign w:val="baseline"/>
      </w:rPr>
    </w:lvl>
    <w:lvl w:ilvl="6">
      <w:start w:val="1"/>
      <w:numFmt w:val="decimal"/>
      <w:lvlText w:val="%7."/>
      <w:lvlJc w:val="left"/>
      <w:pPr>
        <w:ind w:left="5154" w:hanging="360"/>
      </w:pPr>
      <w:rPr>
        <w:vertAlign w:val="baseline"/>
      </w:rPr>
    </w:lvl>
    <w:lvl w:ilvl="7">
      <w:start w:val="1"/>
      <w:numFmt w:val="lowerLetter"/>
      <w:lvlText w:val="%8."/>
      <w:lvlJc w:val="left"/>
      <w:pPr>
        <w:ind w:left="5874" w:hanging="360"/>
      </w:pPr>
      <w:rPr>
        <w:vertAlign w:val="baseline"/>
      </w:rPr>
    </w:lvl>
    <w:lvl w:ilvl="8">
      <w:start w:val="1"/>
      <w:numFmt w:val="lowerRoman"/>
      <w:lvlText w:val="%9."/>
      <w:lvlJc w:val="right"/>
      <w:pPr>
        <w:ind w:left="6594" w:hanging="180"/>
      </w:pPr>
      <w:rPr>
        <w:vertAlign w:val="baseline"/>
      </w:rPr>
    </w:lvl>
  </w:abstractNum>
  <w:abstractNum w:abstractNumId="18">
    <w:lvl w:ilvl="0">
      <w:start w:val="1"/>
      <w:numFmt w:val="bullet"/>
      <w:lvlText w:val="●"/>
      <w:lvlJc w:val="left"/>
      <w:pPr>
        <w:ind w:left="1080" w:hanging="360"/>
      </w:pPr>
      <w:rPr>
        <w:rFonts w:ascii="Courier New" w:cs="Courier New" w:eastAsia="Courier New" w:hAnsi="Courier New"/>
        <w:vertAlign w:val="baseline"/>
      </w:rPr>
    </w:lvl>
    <w:lvl w:ilvl="1">
      <w:start w:val="1"/>
      <w:numFmt w:val="bullet"/>
      <w:lvlText w:val="o"/>
      <w:lvlJc w:val="left"/>
      <w:pPr>
        <w:ind w:left="1800" w:hanging="360"/>
      </w:pPr>
      <w:rPr>
        <w:rFonts w:ascii="Courier New" w:cs="Courier New" w:eastAsia="Courier New" w:hAnsi="Courier New"/>
        <w:vertAlign w:val="baseline"/>
      </w:rPr>
    </w:lvl>
    <w:lvl w:ilvl="2">
      <w:start w:val="1"/>
      <w:numFmt w:val="bullet"/>
      <w:lvlText w:val="▪"/>
      <w:lvlJc w:val="left"/>
      <w:pPr>
        <w:ind w:left="2520" w:hanging="360"/>
      </w:pPr>
      <w:rPr>
        <w:rFonts w:ascii="Noto Sans Symbols" w:cs="Noto Sans Symbols" w:eastAsia="Noto Sans Symbols" w:hAnsi="Noto Sans Symbols"/>
        <w:vertAlign w:val="baseline"/>
      </w:rPr>
    </w:lvl>
    <w:lvl w:ilvl="3">
      <w:start w:val="1"/>
      <w:numFmt w:val="bullet"/>
      <w:lvlText w:val="●"/>
      <w:lvlJc w:val="left"/>
      <w:pPr>
        <w:ind w:left="3240" w:hanging="360"/>
      </w:pPr>
      <w:rPr>
        <w:rFonts w:ascii="Noto Sans Symbols" w:cs="Noto Sans Symbols" w:eastAsia="Noto Sans Symbols" w:hAnsi="Noto Sans Symbols"/>
        <w:vertAlign w:val="baseline"/>
      </w:rPr>
    </w:lvl>
    <w:lvl w:ilvl="4">
      <w:start w:val="1"/>
      <w:numFmt w:val="bullet"/>
      <w:lvlText w:val="o"/>
      <w:lvlJc w:val="left"/>
      <w:pPr>
        <w:ind w:left="3960" w:hanging="360"/>
      </w:pPr>
      <w:rPr>
        <w:rFonts w:ascii="Courier New" w:cs="Courier New" w:eastAsia="Courier New" w:hAnsi="Courier New"/>
        <w:vertAlign w:val="baseline"/>
      </w:rPr>
    </w:lvl>
    <w:lvl w:ilvl="5">
      <w:start w:val="1"/>
      <w:numFmt w:val="bullet"/>
      <w:lvlText w:val="▪"/>
      <w:lvlJc w:val="left"/>
      <w:pPr>
        <w:ind w:left="4680" w:hanging="360"/>
      </w:pPr>
      <w:rPr>
        <w:rFonts w:ascii="Noto Sans Symbols" w:cs="Noto Sans Symbols" w:eastAsia="Noto Sans Symbols" w:hAnsi="Noto Sans Symbols"/>
        <w:vertAlign w:val="baseline"/>
      </w:rPr>
    </w:lvl>
    <w:lvl w:ilvl="6">
      <w:start w:val="1"/>
      <w:numFmt w:val="bullet"/>
      <w:lvlText w:val="●"/>
      <w:lvlJc w:val="left"/>
      <w:pPr>
        <w:ind w:left="5400" w:hanging="360"/>
      </w:pPr>
      <w:rPr>
        <w:rFonts w:ascii="Noto Sans Symbols" w:cs="Noto Sans Symbols" w:eastAsia="Noto Sans Symbols" w:hAnsi="Noto Sans Symbols"/>
        <w:vertAlign w:val="baseline"/>
      </w:rPr>
    </w:lvl>
    <w:lvl w:ilvl="7">
      <w:start w:val="1"/>
      <w:numFmt w:val="bullet"/>
      <w:lvlText w:val="o"/>
      <w:lvlJc w:val="left"/>
      <w:pPr>
        <w:ind w:left="6120" w:hanging="360"/>
      </w:pPr>
      <w:rPr>
        <w:rFonts w:ascii="Courier New" w:cs="Courier New" w:eastAsia="Courier New" w:hAnsi="Courier New"/>
        <w:vertAlign w:val="baseline"/>
      </w:rPr>
    </w:lvl>
    <w:lvl w:ilvl="8">
      <w:start w:val="1"/>
      <w:numFmt w:val="bullet"/>
      <w:lvlText w:val="▪"/>
      <w:lvlJc w:val="left"/>
      <w:pPr>
        <w:ind w:left="6840" w:hanging="360"/>
      </w:pPr>
      <w:rPr>
        <w:rFonts w:ascii="Noto Sans Symbols" w:cs="Noto Sans Symbols" w:eastAsia="Noto Sans Symbols" w:hAnsi="Noto Sans Symbols"/>
        <w:vertAlign w:val="baseline"/>
      </w:rPr>
    </w:lvl>
  </w:abstractNum>
  <w:abstractNum w:abstractNumId="19">
    <w:lvl w:ilvl="0">
      <w:start w:val="1"/>
      <w:numFmt w:val="decimal"/>
      <w:lvlText w:val="%1)"/>
      <w:lvlJc w:val="left"/>
      <w:pPr>
        <w:ind w:left="1287" w:hanging="360.00000000000045"/>
      </w:pPr>
      <w:rPr>
        <w:vertAlign w:val="baseline"/>
      </w:rPr>
    </w:lvl>
    <w:lvl w:ilvl="1">
      <w:start w:val="1"/>
      <w:numFmt w:val="lowerLetter"/>
      <w:lvlText w:val="%2."/>
      <w:lvlJc w:val="left"/>
      <w:pPr>
        <w:ind w:left="2007" w:hanging="360"/>
      </w:pPr>
      <w:rPr>
        <w:vertAlign w:val="baseline"/>
      </w:rPr>
    </w:lvl>
    <w:lvl w:ilvl="2">
      <w:start w:val="1"/>
      <w:numFmt w:val="lowerRoman"/>
      <w:lvlText w:val="%3."/>
      <w:lvlJc w:val="right"/>
      <w:pPr>
        <w:ind w:left="2727" w:hanging="180"/>
      </w:pPr>
      <w:rPr>
        <w:vertAlign w:val="baseline"/>
      </w:rPr>
    </w:lvl>
    <w:lvl w:ilvl="3">
      <w:start w:val="1"/>
      <w:numFmt w:val="decimal"/>
      <w:lvlText w:val="%4."/>
      <w:lvlJc w:val="left"/>
      <w:pPr>
        <w:ind w:left="3447" w:hanging="360"/>
      </w:pPr>
      <w:rPr>
        <w:vertAlign w:val="baseline"/>
      </w:rPr>
    </w:lvl>
    <w:lvl w:ilvl="4">
      <w:start w:val="1"/>
      <w:numFmt w:val="lowerLetter"/>
      <w:lvlText w:val="%5."/>
      <w:lvlJc w:val="left"/>
      <w:pPr>
        <w:ind w:left="4167" w:hanging="360"/>
      </w:pPr>
      <w:rPr>
        <w:vertAlign w:val="baseline"/>
      </w:rPr>
    </w:lvl>
    <w:lvl w:ilvl="5">
      <w:start w:val="1"/>
      <w:numFmt w:val="lowerRoman"/>
      <w:lvlText w:val="%6."/>
      <w:lvlJc w:val="right"/>
      <w:pPr>
        <w:ind w:left="4887" w:hanging="180"/>
      </w:pPr>
      <w:rPr>
        <w:vertAlign w:val="baseline"/>
      </w:rPr>
    </w:lvl>
    <w:lvl w:ilvl="6">
      <w:start w:val="1"/>
      <w:numFmt w:val="decimal"/>
      <w:lvlText w:val="%7."/>
      <w:lvlJc w:val="left"/>
      <w:pPr>
        <w:ind w:left="5607" w:hanging="360"/>
      </w:pPr>
      <w:rPr>
        <w:vertAlign w:val="baseline"/>
      </w:rPr>
    </w:lvl>
    <w:lvl w:ilvl="7">
      <w:start w:val="1"/>
      <w:numFmt w:val="lowerLetter"/>
      <w:lvlText w:val="%8."/>
      <w:lvlJc w:val="left"/>
      <w:pPr>
        <w:ind w:left="6327" w:hanging="360"/>
      </w:pPr>
      <w:rPr>
        <w:vertAlign w:val="baseline"/>
      </w:rPr>
    </w:lvl>
    <w:lvl w:ilvl="8">
      <w:start w:val="1"/>
      <w:numFmt w:val="lowerRoman"/>
      <w:lvlText w:val="%9."/>
      <w:lvlJc w:val="right"/>
      <w:pPr>
        <w:ind w:left="7047" w:hanging="180"/>
      </w:pPr>
      <w:rPr>
        <w:vertAlign w:val="baseline"/>
      </w:rPr>
    </w:lvl>
  </w:abstractNum>
  <w:abstractNum w:abstractNumId="20">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1">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22">
    <w:lvl w:ilvl="0">
      <w:start w:val="6"/>
      <w:numFmt w:val="decimal"/>
      <w:lvlText w:val="%1"/>
      <w:lvlJc w:val="left"/>
      <w:pPr>
        <w:ind w:left="645" w:hanging="645"/>
      </w:pPr>
      <w:rPr>
        <w:vertAlign w:val="baseline"/>
      </w:rPr>
    </w:lvl>
    <w:lvl w:ilvl="1">
      <w:start w:val="3"/>
      <w:numFmt w:val="decimal"/>
      <w:lvlText w:val="%1.%2"/>
      <w:lvlJc w:val="left"/>
      <w:pPr>
        <w:ind w:left="1003" w:hanging="720"/>
      </w:pPr>
      <w:rPr>
        <w:vertAlign w:val="baseline"/>
      </w:rPr>
    </w:lvl>
    <w:lvl w:ilvl="2">
      <w:start w:val="1"/>
      <w:numFmt w:val="decimal"/>
      <w:lvlText w:val="%1.%2.%3"/>
      <w:lvlJc w:val="left"/>
      <w:pPr>
        <w:ind w:left="1286" w:hanging="720"/>
      </w:pPr>
      <w:rPr>
        <w:vertAlign w:val="baseline"/>
      </w:rPr>
    </w:lvl>
    <w:lvl w:ilvl="3">
      <w:start w:val="1"/>
      <w:numFmt w:val="decimal"/>
      <w:lvlText w:val="%1.%2.%3.%4"/>
      <w:lvlJc w:val="left"/>
      <w:pPr>
        <w:ind w:left="1929" w:hanging="1080"/>
      </w:pPr>
      <w:rPr>
        <w:vertAlign w:val="baseline"/>
      </w:rPr>
    </w:lvl>
    <w:lvl w:ilvl="4">
      <w:start w:val="1"/>
      <w:numFmt w:val="decimal"/>
      <w:lvlText w:val="%1.%2.%3.%4.%5"/>
      <w:lvlJc w:val="left"/>
      <w:pPr>
        <w:ind w:left="2572" w:hanging="1440"/>
      </w:pPr>
      <w:rPr>
        <w:vertAlign w:val="baseline"/>
      </w:rPr>
    </w:lvl>
    <w:lvl w:ilvl="5">
      <w:start w:val="1"/>
      <w:numFmt w:val="decimal"/>
      <w:lvlText w:val="%1.%2.%3.%4.%5.%6"/>
      <w:lvlJc w:val="left"/>
      <w:pPr>
        <w:ind w:left="2855" w:hanging="1440"/>
      </w:pPr>
      <w:rPr>
        <w:vertAlign w:val="baseline"/>
      </w:rPr>
    </w:lvl>
    <w:lvl w:ilvl="6">
      <w:start w:val="1"/>
      <w:numFmt w:val="decimal"/>
      <w:lvlText w:val="%1.%2.%3.%4.%5.%6.%7"/>
      <w:lvlJc w:val="left"/>
      <w:pPr>
        <w:ind w:left="3498" w:hanging="1800"/>
      </w:pPr>
      <w:rPr>
        <w:vertAlign w:val="baseline"/>
      </w:rPr>
    </w:lvl>
    <w:lvl w:ilvl="7">
      <w:start w:val="1"/>
      <w:numFmt w:val="decimal"/>
      <w:lvlText w:val="%1.%2.%3.%4.%5.%6.%7.%8"/>
      <w:lvlJc w:val="left"/>
      <w:pPr>
        <w:ind w:left="3781" w:hanging="1798.9999999999993"/>
      </w:pPr>
      <w:rPr>
        <w:vertAlign w:val="baseline"/>
      </w:rPr>
    </w:lvl>
    <w:lvl w:ilvl="8">
      <w:start w:val="1"/>
      <w:numFmt w:val="decimal"/>
      <w:lvlText w:val="%1.%2.%3.%4.%5.%6.%7.%8.%9"/>
      <w:lvlJc w:val="left"/>
      <w:pPr>
        <w:ind w:left="4424" w:hanging="2160"/>
      </w:pPr>
      <w:rPr>
        <w:vertAlign w:val="baseline"/>
      </w:rPr>
    </w:lvl>
  </w:abstractNum>
  <w:abstractNum w:abstractNumId="23">
    <w:lvl w:ilvl="0">
      <w:start w:val="1"/>
      <w:numFmt w:val="lowerLetter"/>
      <w:lvlText w:val="%1)"/>
      <w:lvlJc w:val="left"/>
      <w:pPr>
        <w:ind w:left="1571" w:hanging="360"/>
      </w:pPr>
      <w:rPr>
        <w:vertAlign w:val="baseline"/>
      </w:rPr>
    </w:lvl>
    <w:lvl w:ilvl="1">
      <w:start w:val="1"/>
      <w:numFmt w:val="lowerLetter"/>
      <w:lvlText w:val="%2."/>
      <w:lvlJc w:val="left"/>
      <w:pPr>
        <w:ind w:left="2291" w:hanging="360"/>
      </w:pPr>
      <w:rPr>
        <w:vertAlign w:val="baseline"/>
      </w:rPr>
    </w:lvl>
    <w:lvl w:ilvl="2">
      <w:start w:val="1"/>
      <w:numFmt w:val="lowerRoman"/>
      <w:lvlText w:val="%3."/>
      <w:lvlJc w:val="right"/>
      <w:pPr>
        <w:ind w:left="3011" w:hanging="180"/>
      </w:pPr>
      <w:rPr>
        <w:vertAlign w:val="baseline"/>
      </w:rPr>
    </w:lvl>
    <w:lvl w:ilvl="3">
      <w:start w:val="1"/>
      <w:numFmt w:val="decimal"/>
      <w:lvlText w:val="%4."/>
      <w:lvlJc w:val="left"/>
      <w:pPr>
        <w:ind w:left="3731" w:hanging="360"/>
      </w:pPr>
      <w:rPr>
        <w:vertAlign w:val="baseline"/>
      </w:rPr>
    </w:lvl>
    <w:lvl w:ilvl="4">
      <w:start w:val="1"/>
      <w:numFmt w:val="lowerLetter"/>
      <w:lvlText w:val="%5."/>
      <w:lvlJc w:val="left"/>
      <w:pPr>
        <w:ind w:left="4451" w:hanging="360"/>
      </w:pPr>
      <w:rPr>
        <w:vertAlign w:val="baseline"/>
      </w:rPr>
    </w:lvl>
    <w:lvl w:ilvl="5">
      <w:start w:val="1"/>
      <w:numFmt w:val="lowerRoman"/>
      <w:lvlText w:val="%6."/>
      <w:lvlJc w:val="right"/>
      <w:pPr>
        <w:ind w:left="5171" w:hanging="180"/>
      </w:pPr>
      <w:rPr>
        <w:vertAlign w:val="baseline"/>
      </w:rPr>
    </w:lvl>
    <w:lvl w:ilvl="6">
      <w:start w:val="1"/>
      <w:numFmt w:val="decimal"/>
      <w:lvlText w:val="%7."/>
      <w:lvlJc w:val="left"/>
      <w:pPr>
        <w:ind w:left="5891" w:hanging="360"/>
      </w:pPr>
      <w:rPr>
        <w:vertAlign w:val="baseline"/>
      </w:rPr>
    </w:lvl>
    <w:lvl w:ilvl="7">
      <w:start w:val="1"/>
      <w:numFmt w:val="lowerLetter"/>
      <w:lvlText w:val="%8."/>
      <w:lvlJc w:val="left"/>
      <w:pPr>
        <w:ind w:left="6611" w:hanging="360"/>
      </w:pPr>
      <w:rPr>
        <w:vertAlign w:val="baseline"/>
      </w:rPr>
    </w:lvl>
    <w:lvl w:ilvl="8">
      <w:start w:val="1"/>
      <w:numFmt w:val="lowerRoman"/>
      <w:lvlText w:val="%9."/>
      <w:lvlJc w:val="right"/>
      <w:pPr>
        <w:ind w:left="7331" w:hanging="180"/>
      </w:pPr>
      <w:rPr>
        <w:vertAlign w:val="baseline"/>
      </w:rPr>
    </w:lvl>
  </w:abstractNum>
  <w:abstractNum w:abstractNumId="24">
    <w:lvl w:ilvl="0">
      <w:start w:val="1"/>
      <w:numFmt w:val="decimal"/>
      <w:lvlText w:val="%1."/>
      <w:lvlJc w:val="left"/>
      <w:pPr>
        <w:ind w:left="360" w:hanging="360"/>
      </w:pPr>
      <w:rPr>
        <w:rFonts w:ascii="Calibri" w:cs="Calibri" w:eastAsia="Calibri" w:hAnsi="Calibri"/>
        <w:sz w:val="24"/>
        <w:szCs w:val="24"/>
        <w:vertAlign w:val="baseline"/>
      </w:rPr>
    </w:lvl>
    <w:lvl w:ilvl="1">
      <w:start w:val="1"/>
      <w:numFmt w:val="decimal"/>
      <w:lvlText w:val="%1.%2."/>
      <w:lvlJc w:val="left"/>
      <w:pPr>
        <w:ind w:left="792" w:hanging="432"/>
      </w:pPr>
      <w:rPr>
        <w:rFonts w:ascii="Calibri" w:cs="Calibri" w:eastAsia="Calibri" w:hAnsi="Calibri"/>
        <w:vertAlign w:val="baseline"/>
      </w:rPr>
    </w:lvl>
    <w:lvl w:ilvl="2">
      <w:start w:val="1"/>
      <w:numFmt w:val="decimal"/>
      <w:lvlText w:val="%1.%2.%3."/>
      <w:lvlJc w:val="left"/>
      <w:pPr>
        <w:ind w:left="1224" w:hanging="504"/>
      </w:pPr>
      <w:rPr>
        <w:vertAlign w:val="baseline"/>
      </w:rPr>
    </w:lvl>
    <w:lvl w:ilvl="3">
      <w:start w:val="1"/>
      <w:numFmt w:val="decimal"/>
      <w:lvlText w:val="%1.%2.%3.%4."/>
      <w:lvlJc w:val="left"/>
      <w:pPr>
        <w:ind w:left="1728" w:hanging="647"/>
      </w:pPr>
      <w:rPr>
        <w:vertAlign w:val="baseline"/>
      </w:rPr>
    </w:lvl>
    <w:lvl w:ilvl="4">
      <w:start w:val="1"/>
      <w:numFmt w:val="decimal"/>
      <w:lvlText w:val="%1.%2.%3.%4.%5."/>
      <w:lvlJc w:val="left"/>
      <w:pPr>
        <w:ind w:left="2232" w:hanging="792"/>
      </w:pPr>
      <w:rPr>
        <w:vertAlign w:val="baseline"/>
      </w:rPr>
    </w:lvl>
    <w:lvl w:ilvl="5">
      <w:start w:val="1"/>
      <w:numFmt w:val="decimal"/>
      <w:lvlText w:val="%1.%2.%3.%4.%5.%6."/>
      <w:lvlJc w:val="left"/>
      <w:pPr>
        <w:ind w:left="2736" w:hanging="934.9999999999991"/>
      </w:pPr>
      <w:rPr>
        <w:vertAlign w:val="baseline"/>
      </w:rPr>
    </w:lvl>
    <w:lvl w:ilvl="6">
      <w:start w:val="1"/>
      <w:numFmt w:val="decimal"/>
      <w:lvlText w:val="%1.%2.%3.%4.%5.%6.%7."/>
      <w:lvlJc w:val="left"/>
      <w:pPr>
        <w:ind w:left="3240" w:hanging="1080"/>
      </w:pPr>
      <w:rPr>
        <w:vertAlign w:val="baseline"/>
      </w:rPr>
    </w:lvl>
    <w:lvl w:ilvl="7">
      <w:start w:val="1"/>
      <w:numFmt w:val="decimal"/>
      <w:lvlText w:val="%1.%2.%3.%4.%5.%6.%7.%8."/>
      <w:lvlJc w:val="left"/>
      <w:pPr>
        <w:ind w:left="3744" w:hanging="1224.0000000000005"/>
      </w:pPr>
      <w:rPr>
        <w:vertAlign w:val="baseline"/>
      </w:rPr>
    </w:lvl>
    <w:lvl w:ilvl="8">
      <w:start w:val="1"/>
      <w:numFmt w:val="decimal"/>
      <w:lvlText w:val="%1.%2.%3.%4.%5.%6.%7.%8.%9."/>
      <w:lvlJc w:val="left"/>
      <w:pPr>
        <w:ind w:left="4320" w:hanging="1440"/>
      </w:pPr>
      <w:rPr>
        <w:vertAlign w:val="baseline"/>
      </w:rPr>
    </w:lvl>
  </w:abstractNum>
  <w:abstractNum w:abstractNumId="25">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6">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7">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8">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9">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30">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31">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32">
    <w:lvl w:ilvl="0">
      <w:start w:val="1"/>
      <w:numFmt w:val="decimal"/>
      <w:lvlText w:val="%1."/>
      <w:lvlJc w:val="left"/>
      <w:pPr>
        <w:ind w:left="360" w:hanging="360"/>
      </w:pPr>
      <w:rPr>
        <w:rFonts w:ascii="Noto Sans Symbols" w:cs="Noto Sans Symbols" w:eastAsia="Noto Sans Symbols" w:hAnsi="Noto Sans Symbols"/>
        <w:vertAlign w:val="baseline"/>
      </w:rPr>
    </w:lvl>
    <w:lvl w:ilvl="1">
      <w:start w:val="1"/>
      <w:numFmt w:val="decimal"/>
      <w:lvlText w:val="%1.%2."/>
      <w:lvlJc w:val="left"/>
      <w:pPr>
        <w:ind w:left="792" w:hanging="432"/>
      </w:pPr>
      <w:rPr>
        <w:rFonts w:ascii="Calibri" w:cs="Calibri" w:eastAsia="Calibri" w:hAnsi="Calibri"/>
        <w:vertAlign w:val="baseline"/>
      </w:rPr>
    </w:lvl>
    <w:lvl w:ilvl="2">
      <w:start w:val="1"/>
      <w:numFmt w:val="decimal"/>
      <w:lvlText w:val="%1.%2.%3."/>
      <w:lvlJc w:val="left"/>
      <w:pPr>
        <w:ind w:left="1224" w:hanging="504"/>
      </w:pPr>
      <w:rPr>
        <w:rFonts w:ascii="Noto Sans Symbols" w:cs="Noto Sans Symbols" w:eastAsia="Noto Sans Symbols" w:hAnsi="Noto Sans Symbols"/>
        <w:vertAlign w:val="baseline"/>
      </w:rPr>
    </w:lvl>
    <w:lvl w:ilvl="3">
      <w:start w:val="1"/>
      <w:numFmt w:val="decimal"/>
      <w:lvlText w:val="%1.%2.%3.%4."/>
      <w:lvlJc w:val="left"/>
      <w:pPr>
        <w:ind w:left="1728" w:hanging="647"/>
      </w:pPr>
      <w:rPr>
        <w:vertAlign w:val="baseline"/>
      </w:rPr>
    </w:lvl>
    <w:lvl w:ilvl="4">
      <w:start w:val="1"/>
      <w:numFmt w:val="decimal"/>
      <w:lvlText w:val="%1.%2.%3.%4.%5."/>
      <w:lvlJc w:val="left"/>
      <w:pPr>
        <w:ind w:left="2232" w:hanging="792"/>
      </w:pPr>
      <w:rPr>
        <w:rFonts w:ascii="Courier New" w:cs="Courier New" w:eastAsia="Courier New" w:hAnsi="Courier New"/>
        <w:vertAlign w:val="baseline"/>
      </w:rPr>
    </w:lvl>
    <w:lvl w:ilvl="5">
      <w:start w:val="1"/>
      <w:numFmt w:val="decimal"/>
      <w:lvlText w:val="%1.%2.%3.%4.%5.%6."/>
      <w:lvlJc w:val="left"/>
      <w:pPr>
        <w:ind w:left="2736" w:hanging="934.9999999999991"/>
      </w:pPr>
      <w:rPr>
        <w:vertAlign w:val="baseline"/>
      </w:rPr>
    </w:lvl>
    <w:lvl w:ilvl="6">
      <w:start w:val="1"/>
      <w:numFmt w:val="decimal"/>
      <w:lvlText w:val="%1.%2.%3.%4.%5.%6.%7."/>
      <w:lvlJc w:val="left"/>
      <w:pPr>
        <w:ind w:left="3240" w:hanging="1080"/>
      </w:pPr>
      <w:rPr>
        <w:vertAlign w:val="baseline"/>
      </w:rPr>
    </w:lvl>
    <w:lvl w:ilvl="7">
      <w:start w:val="1"/>
      <w:numFmt w:val="decimal"/>
      <w:lvlText w:val="%1.%2.%3.%4.%5.%6.%7.%8."/>
      <w:lvlJc w:val="left"/>
      <w:pPr>
        <w:ind w:left="3744" w:hanging="1224.0000000000005"/>
      </w:pPr>
      <w:rPr>
        <w:vertAlign w:val="baseline"/>
      </w:rPr>
    </w:lvl>
    <w:lvl w:ilvl="8">
      <w:start w:val="1"/>
      <w:numFmt w:val="decimal"/>
      <w:lvlText w:val="%1.%2.%3.%4.%5.%6.%7.%8.%9."/>
      <w:lvlJc w:val="left"/>
      <w:pPr>
        <w:ind w:left="4320" w:hanging="1440"/>
      </w:pPr>
      <w:rPr>
        <w:vertAlign w:val="baseline"/>
      </w:rPr>
    </w:lvl>
  </w:abstractNum>
  <w:abstractNum w:abstractNumId="33">
    <w:lvl w:ilvl="0">
      <w:start w:val="1"/>
      <w:numFmt w:val="bullet"/>
      <w:lvlText w:val="●"/>
      <w:lvlJc w:val="left"/>
      <w:pPr>
        <w:ind w:left="1571" w:hanging="360"/>
      </w:pPr>
      <w:rPr>
        <w:rFonts w:ascii="Noto Sans Symbols" w:cs="Noto Sans Symbols" w:eastAsia="Noto Sans Symbols" w:hAnsi="Noto Sans Symbols"/>
        <w:vertAlign w:val="baseline"/>
      </w:rPr>
    </w:lvl>
    <w:lvl w:ilvl="1">
      <w:start w:val="1"/>
      <w:numFmt w:val="bullet"/>
      <w:lvlText w:val="o"/>
      <w:lvlJc w:val="left"/>
      <w:pPr>
        <w:ind w:left="2291" w:hanging="360"/>
      </w:pPr>
      <w:rPr>
        <w:rFonts w:ascii="Courier New" w:cs="Courier New" w:eastAsia="Courier New" w:hAnsi="Courier New"/>
        <w:vertAlign w:val="baseline"/>
      </w:rPr>
    </w:lvl>
    <w:lvl w:ilvl="2">
      <w:start w:val="1"/>
      <w:numFmt w:val="bullet"/>
      <w:lvlText w:val="▪"/>
      <w:lvlJc w:val="left"/>
      <w:pPr>
        <w:ind w:left="3011" w:hanging="360"/>
      </w:pPr>
      <w:rPr>
        <w:rFonts w:ascii="Noto Sans Symbols" w:cs="Noto Sans Symbols" w:eastAsia="Noto Sans Symbols" w:hAnsi="Noto Sans Symbols"/>
        <w:vertAlign w:val="baseline"/>
      </w:rPr>
    </w:lvl>
    <w:lvl w:ilvl="3">
      <w:start w:val="1"/>
      <w:numFmt w:val="bullet"/>
      <w:lvlText w:val="●"/>
      <w:lvlJc w:val="left"/>
      <w:pPr>
        <w:ind w:left="3731" w:hanging="360"/>
      </w:pPr>
      <w:rPr>
        <w:rFonts w:ascii="Noto Sans Symbols" w:cs="Noto Sans Symbols" w:eastAsia="Noto Sans Symbols" w:hAnsi="Noto Sans Symbols"/>
        <w:vertAlign w:val="baseline"/>
      </w:rPr>
    </w:lvl>
    <w:lvl w:ilvl="4">
      <w:start w:val="1"/>
      <w:numFmt w:val="bullet"/>
      <w:lvlText w:val="o"/>
      <w:lvlJc w:val="left"/>
      <w:pPr>
        <w:ind w:left="4451" w:hanging="360"/>
      </w:pPr>
      <w:rPr>
        <w:rFonts w:ascii="Courier New" w:cs="Courier New" w:eastAsia="Courier New" w:hAnsi="Courier New"/>
        <w:vertAlign w:val="baseline"/>
      </w:rPr>
    </w:lvl>
    <w:lvl w:ilvl="5">
      <w:start w:val="1"/>
      <w:numFmt w:val="bullet"/>
      <w:lvlText w:val="▪"/>
      <w:lvlJc w:val="left"/>
      <w:pPr>
        <w:ind w:left="5171" w:hanging="360"/>
      </w:pPr>
      <w:rPr>
        <w:rFonts w:ascii="Noto Sans Symbols" w:cs="Noto Sans Symbols" w:eastAsia="Noto Sans Symbols" w:hAnsi="Noto Sans Symbols"/>
        <w:vertAlign w:val="baseline"/>
      </w:rPr>
    </w:lvl>
    <w:lvl w:ilvl="6">
      <w:start w:val="1"/>
      <w:numFmt w:val="bullet"/>
      <w:lvlText w:val="●"/>
      <w:lvlJc w:val="left"/>
      <w:pPr>
        <w:ind w:left="5891" w:hanging="360"/>
      </w:pPr>
      <w:rPr>
        <w:rFonts w:ascii="Noto Sans Symbols" w:cs="Noto Sans Symbols" w:eastAsia="Noto Sans Symbols" w:hAnsi="Noto Sans Symbols"/>
        <w:vertAlign w:val="baseline"/>
      </w:rPr>
    </w:lvl>
    <w:lvl w:ilvl="7">
      <w:start w:val="1"/>
      <w:numFmt w:val="bullet"/>
      <w:lvlText w:val="o"/>
      <w:lvlJc w:val="left"/>
      <w:pPr>
        <w:ind w:left="6611" w:hanging="360"/>
      </w:pPr>
      <w:rPr>
        <w:rFonts w:ascii="Courier New" w:cs="Courier New" w:eastAsia="Courier New" w:hAnsi="Courier New"/>
        <w:vertAlign w:val="baseline"/>
      </w:rPr>
    </w:lvl>
    <w:lvl w:ilvl="8">
      <w:start w:val="1"/>
      <w:numFmt w:val="bullet"/>
      <w:lvlText w:val="▪"/>
      <w:lvlJc w:val="left"/>
      <w:pPr>
        <w:ind w:left="7331" w:hanging="360"/>
      </w:pPr>
      <w:rPr>
        <w:rFonts w:ascii="Noto Sans Symbols" w:cs="Noto Sans Symbols" w:eastAsia="Noto Sans Symbols" w:hAnsi="Noto Sans Symbols"/>
        <w:vertAlign w:val="baseline"/>
      </w:rPr>
    </w:lvl>
  </w:abstractNum>
  <w:abstractNum w:abstractNumId="34">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35">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6">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7">
    <w:lvl w:ilvl="0">
      <w:start w:val="1"/>
      <w:numFmt w:val="bullet"/>
      <w:lvlText w:val="●"/>
      <w:lvlJc w:val="left"/>
      <w:pPr>
        <w:ind w:left="1571" w:hanging="360"/>
      </w:pPr>
      <w:rPr>
        <w:rFonts w:ascii="Noto Sans Symbols" w:cs="Noto Sans Symbols" w:eastAsia="Noto Sans Symbols" w:hAnsi="Noto Sans Symbols"/>
        <w:vertAlign w:val="baseline"/>
      </w:rPr>
    </w:lvl>
    <w:lvl w:ilvl="1">
      <w:start w:val="1"/>
      <w:numFmt w:val="bullet"/>
      <w:lvlText w:val="o"/>
      <w:lvlJc w:val="left"/>
      <w:pPr>
        <w:ind w:left="2291" w:hanging="360"/>
      </w:pPr>
      <w:rPr>
        <w:rFonts w:ascii="Courier New" w:cs="Courier New" w:eastAsia="Courier New" w:hAnsi="Courier New"/>
        <w:vertAlign w:val="baseline"/>
      </w:rPr>
    </w:lvl>
    <w:lvl w:ilvl="2">
      <w:start w:val="1"/>
      <w:numFmt w:val="bullet"/>
      <w:lvlText w:val="o"/>
      <w:lvlJc w:val="left"/>
      <w:pPr>
        <w:ind w:left="3011" w:hanging="360"/>
      </w:pPr>
      <w:rPr>
        <w:rFonts w:ascii="Courier New" w:cs="Courier New" w:eastAsia="Courier New" w:hAnsi="Courier New"/>
        <w:vertAlign w:val="baseline"/>
      </w:rPr>
    </w:lvl>
    <w:lvl w:ilvl="3">
      <w:start w:val="1"/>
      <w:numFmt w:val="bullet"/>
      <w:lvlText w:val="●"/>
      <w:lvlJc w:val="left"/>
      <w:pPr>
        <w:ind w:left="3731" w:hanging="360"/>
      </w:pPr>
      <w:rPr>
        <w:rFonts w:ascii="Noto Sans Symbols" w:cs="Noto Sans Symbols" w:eastAsia="Noto Sans Symbols" w:hAnsi="Noto Sans Symbols"/>
        <w:vertAlign w:val="baseline"/>
      </w:rPr>
    </w:lvl>
    <w:lvl w:ilvl="4">
      <w:start w:val="1"/>
      <w:numFmt w:val="bullet"/>
      <w:lvlText w:val="o"/>
      <w:lvlJc w:val="left"/>
      <w:pPr>
        <w:ind w:left="4451" w:hanging="360"/>
      </w:pPr>
      <w:rPr>
        <w:rFonts w:ascii="Courier New" w:cs="Courier New" w:eastAsia="Courier New" w:hAnsi="Courier New"/>
        <w:vertAlign w:val="baseline"/>
      </w:rPr>
    </w:lvl>
    <w:lvl w:ilvl="5">
      <w:start w:val="1"/>
      <w:numFmt w:val="bullet"/>
      <w:lvlText w:val="▪"/>
      <w:lvlJc w:val="left"/>
      <w:pPr>
        <w:ind w:left="5171" w:hanging="360"/>
      </w:pPr>
      <w:rPr>
        <w:rFonts w:ascii="Noto Sans Symbols" w:cs="Noto Sans Symbols" w:eastAsia="Noto Sans Symbols" w:hAnsi="Noto Sans Symbols"/>
        <w:vertAlign w:val="baseline"/>
      </w:rPr>
    </w:lvl>
    <w:lvl w:ilvl="6">
      <w:start w:val="1"/>
      <w:numFmt w:val="bullet"/>
      <w:lvlText w:val="●"/>
      <w:lvlJc w:val="left"/>
      <w:pPr>
        <w:ind w:left="5891" w:hanging="360"/>
      </w:pPr>
      <w:rPr>
        <w:rFonts w:ascii="Noto Sans Symbols" w:cs="Noto Sans Symbols" w:eastAsia="Noto Sans Symbols" w:hAnsi="Noto Sans Symbols"/>
        <w:vertAlign w:val="baseline"/>
      </w:rPr>
    </w:lvl>
    <w:lvl w:ilvl="7">
      <w:start w:val="1"/>
      <w:numFmt w:val="bullet"/>
      <w:lvlText w:val="o"/>
      <w:lvlJc w:val="left"/>
      <w:pPr>
        <w:ind w:left="6611" w:hanging="360"/>
      </w:pPr>
      <w:rPr>
        <w:rFonts w:ascii="Courier New" w:cs="Courier New" w:eastAsia="Courier New" w:hAnsi="Courier New"/>
        <w:vertAlign w:val="baseline"/>
      </w:rPr>
    </w:lvl>
    <w:lvl w:ilvl="8">
      <w:start w:val="1"/>
      <w:numFmt w:val="bullet"/>
      <w:lvlText w:val="▪"/>
      <w:lvlJc w:val="left"/>
      <w:pPr>
        <w:ind w:left="7331" w:hanging="360"/>
      </w:pPr>
      <w:rPr>
        <w:rFonts w:ascii="Noto Sans Symbols" w:cs="Noto Sans Symbols" w:eastAsia="Noto Sans Symbols" w:hAnsi="Noto Sans Symbols"/>
        <w:vertAlign w:val="baseline"/>
      </w:rPr>
    </w:lvl>
  </w:abstractNum>
  <w:abstractNum w:abstractNumId="38">
    <w:lvl w:ilvl="0">
      <w:start w:val="1"/>
      <w:numFmt w:val="lowerLetter"/>
      <w:lvlText w:val="%1)"/>
      <w:lvlJc w:val="left"/>
      <w:pPr>
        <w:ind w:left="709" w:hanging="358.9999999999999"/>
      </w:pPr>
      <w:rPr>
        <w:vertAlign w:val="baseline"/>
      </w:rPr>
    </w:lvl>
    <w:lvl w:ilvl="1">
      <w:start w:val="1"/>
      <w:numFmt w:val="lowerLetter"/>
      <w:lvlText w:val="%2)"/>
      <w:lvlJc w:val="left"/>
      <w:pPr>
        <w:ind w:left="1429" w:hanging="360"/>
      </w:pPr>
      <w:rPr>
        <w:vertAlign w:val="baseline"/>
      </w:rPr>
    </w:lvl>
    <w:lvl w:ilvl="2">
      <w:start w:val="1"/>
      <w:numFmt w:val="decimal"/>
      <w:lvlText w:val="%3)"/>
      <w:lvlJc w:val="left"/>
      <w:pPr>
        <w:ind w:left="2329" w:hanging="360"/>
      </w:pPr>
      <w:rPr>
        <w:vertAlign w:val="baseline"/>
      </w:rPr>
    </w:lvl>
    <w:lvl w:ilvl="3">
      <w:start w:val="1"/>
      <w:numFmt w:val="decimal"/>
      <w:lvlText w:val="%4."/>
      <w:lvlJc w:val="left"/>
      <w:pPr>
        <w:ind w:left="2869" w:hanging="360"/>
      </w:pPr>
      <w:rPr>
        <w:vertAlign w:val="baseline"/>
      </w:rPr>
    </w:lvl>
    <w:lvl w:ilvl="4">
      <w:start w:val="1"/>
      <w:numFmt w:val="lowerLetter"/>
      <w:lvlText w:val="%5."/>
      <w:lvlJc w:val="left"/>
      <w:pPr>
        <w:ind w:left="3589" w:hanging="360"/>
      </w:pPr>
      <w:rPr>
        <w:vertAlign w:val="baseline"/>
      </w:rPr>
    </w:lvl>
    <w:lvl w:ilvl="5">
      <w:start w:val="1"/>
      <w:numFmt w:val="lowerRoman"/>
      <w:lvlText w:val="%6."/>
      <w:lvlJc w:val="right"/>
      <w:pPr>
        <w:ind w:left="4309" w:hanging="180"/>
      </w:pPr>
      <w:rPr>
        <w:vertAlign w:val="baseline"/>
      </w:rPr>
    </w:lvl>
    <w:lvl w:ilvl="6">
      <w:start w:val="1"/>
      <w:numFmt w:val="decimal"/>
      <w:lvlText w:val="%7."/>
      <w:lvlJc w:val="left"/>
      <w:pPr>
        <w:ind w:left="5029" w:hanging="360"/>
      </w:pPr>
      <w:rPr>
        <w:vertAlign w:val="baseline"/>
      </w:rPr>
    </w:lvl>
    <w:lvl w:ilvl="7">
      <w:start w:val="1"/>
      <w:numFmt w:val="lowerLetter"/>
      <w:lvlText w:val="%8."/>
      <w:lvlJc w:val="left"/>
      <w:pPr>
        <w:ind w:left="5749" w:hanging="360"/>
      </w:pPr>
      <w:rPr>
        <w:vertAlign w:val="baseline"/>
      </w:rPr>
    </w:lvl>
    <w:lvl w:ilvl="8">
      <w:start w:val="1"/>
      <w:numFmt w:val="lowerRoman"/>
      <w:lvlText w:val="%9."/>
      <w:lvlJc w:val="right"/>
      <w:pPr>
        <w:ind w:left="6469" w:hanging="180"/>
      </w:pPr>
      <w:rPr>
        <w:vertAlign w:val="baseline"/>
      </w:rPr>
    </w:lvl>
  </w:abstractNum>
  <w:abstractNum w:abstractNumId="39">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0">
    <w:lvl w:ilvl="0">
      <w:start w:val="3"/>
      <w:numFmt w:val="bullet"/>
      <w:lvlText w:val="-"/>
      <w:lvlJc w:val="left"/>
      <w:pPr>
        <w:ind w:left="927" w:hanging="360"/>
      </w:pPr>
      <w:rPr>
        <w:rFonts w:ascii="Times New Roman" w:cs="Times New Roman" w:eastAsia="Times New Roman" w:hAnsi="Times New Roman"/>
        <w:vertAlign w:val="superscript"/>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41">
    <w:lvl w:ilvl="0">
      <w:start w:val="9"/>
      <w:numFmt w:val="decimal"/>
      <w:lvlText w:val="%1"/>
      <w:lvlJc w:val="left"/>
      <w:pPr>
        <w:ind w:left="360" w:hanging="360"/>
      </w:pPr>
      <w:rPr>
        <w:rFonts w:ascii="Tahoma" w:cs="Tahoma" w:eastAsia="Tahoma" w:hAnsi="Tahoma"/>
        <w:vertAlign w:val="baseline"/>
      </w:rPr>
    </w:lvl>
    <w:lvl w:ilvl="1">
      <w:start w:val="1"/>
      <w:numFmt w:val="lowerLetter"/>
      <w:lvlText w:val="%2)"/>
      <w:lvlJc w:val="left"/>
      <w:pPr>
        <w:ind w:left="1571" w:hanging="720"/>
      </w:pPr>
      <w:rPr>
        <w:vertAlign w:val="baseline"/>
      </w:rPr>
    </w:lvl>
    <w:lvl w:ilvl="2">
      <w:start w:val="1"/>
      <w:numFmt w:val="decimal"/>
      <w:lvlText w:val="%1.%2.%3"/>
      <w:lvlJc w:val="left"/>
      <w:pPr>
        <w:ind w:left="2422" w:hanging="720"/>
      </w:pPr>
      <w:rPr>
        <w:rFonts w:ascii="Tahoma" w:cs="Tahoma" w:eastAsia="Tahoma" w:hAnsi="Tahoma"/>
        <w:vertAlign w:val="baseline"/>
      </w:rPr>
    </w:lvl>
    <w:lvl w:ilvl="3">
      <w:start w:val="1"/>
      <w:numFmt w:val="decimal"/>
      <w:lvlText w:val="%1.%2.%3.%4"/>
      <w:lvlJc w:val="left"/>
      <w:pPr>
        <w:ind w:left="3633" w:hanging="1080"/>
      </w:pPr>
      <w:rPr>
        <w:rFonts w:ascii="Tahoma" w:cs="Tahoma" w:eastAsia="Tahoma" w:hAnsi="Tahoma"/>
        <w:vertAlign w:val="baseline"/>
      </w:rPr>
    </w:lvl>
    <w:lvl w:ilvl="4">
      <w:start w:val="1"/>
      <w:numFmt w:val="decimal"/>
      <w:lvlText w:val="%1.%2.%3.%4.%5"/>
      <w:lvlJc w:val="left"/>
      <w:pPr>
        <w:ind w:left="4844" w:hanging="1440"/>
      </w:pPr>
      <w:rPr>
        <w:rFonts w:ascii="Tahoma" w:cs="Tahoma" w:eastAsia="Tahoma" w:hAnsi="Tahoma"/>
        <w:vertAlign w:val="baseline"/>
      </w:rPr>
    </w:lvl>
    <w:lvl w:ilvl="5">
      <w:start w:val="1"/>
      <w:numFmt w:val="decimal"/>
      <w:lvlText w:val="%1.%2.%3.%4.%5.%6"/>
      <w:lvlJc w:val="left"/>
      <w:pPr>
        <w:ind w:left="6055" w:hanging="1800"/>
      </w:pPr>
      <w:rPr>
        <w:rFonts w:ascii="Tahoma" w:cs="Tahoma" w:eastAsia="Tahoma" w:hAnsi="Tahoma"/>
        <w:vertAlign w:val="baseline"/>
      </w:rPr>
    </w:lvl>
    <w:lvl w:ilvl="6">
      <w:start w:val="1"/>
      <w:numFmt w:val="decimal"/>
      <w:lvlText w:val="%1.%2.%3.%4.%5.%6.%7"/>
      <w:lvlJc w:val="left"/>
      <w:pPr>
        <w:ind w:left="6906" w:hanging="1800"/>
      </w:pPr>
      <w:rPr>
        <w:rFonts w:ascii="Tahoma" w:cs="Tahoma" w:eastAsia="Tahoma" w:hAnsi="Tahoma"/>
        <w:vertAlign w:val="baseline"/>
      </w:rPr>
    </w:lvl>
    <w:lvl w:ilvl="7">
      <w:start w:val="1"/>
      <w:numFmt w:val="decimal"/>
      <w:lvlText w:val="%1.%2.%3.%4.%5.%6.%7.%8"/>
      <w:lvlJc w:val="left"/>
      <w:pPr>
        <w:ind w:left="8117" w:hanging="2160"/>
      </w:pPr>
      <w:rPr>
        <w:rFonts w:ascii="Tahoma" w:cs="Tahoma" w:eastAsia="Tahoma" w:hAnsi="Tahoma"/>
        <w:vertAlign w:val="baseline"/>
      </w:rPr>
    </w:lvl>
    <w:lvl w:ilvl="8">
      <w:start w:val="1"/>
      <w:numFmt w:val="decimal"/>
      <w:lvlText w:val="%1.%2.%3.%4.%5.%6.%7.%8.%9"/>
      <w:lvlJc w:val="left"/>
      <w:pPr>
        <w:ind w:left="9328" w:hanging="2520"/>
      </w:pPr>
      <w:rPr>
        <w:rFonts w:ascii="Tahoma" w:cs="Tahoma" w:eastAsia="Tahoma" w:hAnsi="Tahoma"/>
        <w:vertAlign w:val="baseline"/>
      </w:rPr>
    </w:lvl>
  </w:abstractNum>
  <w:abstractNum w:abstractNumId="42">
    <w:lvl w:ilvl="0">
      <w:start w:val="1"/>
      <w:numFmt w:val="decimal"/>
      <w:lvlText w:val="%1)"/>
      <w:lvlJc w:val="left"/>
      <w:pPr>
        <w:ind w:left="357" w:hanging="357"/>
      </w:pPr>
      <w:rPr>
        <w:vertAlign w:val="baseline"/>
      </w:rPr>
    </w:lvl>
    <w:lvl w:ilvl="1">
      <w:start w:val="2"/>
      <w:numFmt w:val="decimal"/>
      <w:lvlText w:val="%1.%2."/>
      <w:lvlJc w:val="left"/>
      <w:pPr>
        <w:ind w:left="1025" w:hanging="600"/>
      </w:pPr>
      <w:rPr>
        <w:rFonts w:ascii="Tahoma" w:cs="Tahoma" w:eastAsia="Tahoma" w:hAnsi="Tahoma"/>
        <w:vertAlign w:val="baseline"/>
      </w:rPr>
    </w:lvl>
    <w:lvl w:ilvl="2">
      <w:start w:val="3"/>
      <w:numFmt w:val="decimal"/>
      <w:lvlText w:val="%1.%2.%3."/>
      <w:lvlJc w:val="left"/>
      <w:pPr>
        <w:ind w:left="1570" w:hanging="720"/>
      </w:pPr>
      <w:rPr>
        <w:rFonts w:ascii="Tahoma" w:cs="Tahoma" w:eastAsia="Tahoma" w:hAnsi="Tahoma"/>
        <w:vertAlign w:val="baseline"/>
      </w:rPr>
    </w:lvl>
    <w:lvl w:ilvl="3">
      <w:start w:val="1"/>
      <w:numFmt w:val="decimal"/>
      <w:lvlText w:val="%1.%2.%3.%4."/>
      <w:lvlJc w:val="left"/>
      <w:pPr>
        <w:ind w:left="1995" w:hanging="720"/>
      </w:pPr>
      <w:rPr>
        <w:rFonts w:ascii="Tahoma" w:cs="Tahoma" w:eastAsia="Tahoma" w:hAnsi="Tahoma"/>
        <w:vertAlign w:val="baseline"/>
      </w:rPr>
    </w:lvl>
    <w:lvl w:ilvl="4">
      <w:start w:val="1"/>
      <w:numFmt w:val="decimal"/>
      <w:lvlText w:val="%1.%2.%3.%4.%5."/>
      <w:lvlJc w:val="left"/>
      <w:pPr>
        <w:ind w:left="2780" w:hanging="1080"/>
      </w:pPr>
      <w:rPr>
        <w:rFonts w:ascii="Tahoma" w:cs="Tahoma" w:eastAsia="Tahoma" w:hAnsi="Tahoma"/>
        <w:vertAlign w:val="baseline"/>
      </w:rPr>
    </w:lvl>
    <w:lvl w:ilvl="5">
      <w:start w:val="1"/>
      <w:numFmt w:val="decimal"/>
      <w:lvlText w:val="%1.%2.%3.%4.%5.%6."/>
      <w:lvlJc w:val="left"/>
      <w:pPr>
        <w:ind w:left="3205" w:hanging="1080"/>
      </w:pPr>
      <w:rPr>
        <w:rFonts w:ascii="Tahoma" w:cs="Tahoma" w:eastAsia="Tahoma" w:hAnsi="Tahoma"/>
        <w:vertAlign w:val="baseline"/>
      </w:rPr>
    </w:lvl>
    <w:lvl w:ilvl="6">
      <w:start w:val="1"/>
      <w:numFmt w:val="decimal"/>
      <w:lvlText w:val="%1.%2.%3.%4.%5.%6.%7."/>
      <w:lvlJc w:val="left"/>
      <w:pPr>
        <w:ind w:left="3990" w:hanging="1440"/>
      </w:pPr>
      <w:rPr>
        <w:rFonts w:ascii="Tahoma" w:cs="Tahoma" w:eastAsia="Tahoma" w:hAnsi="Tahoma"/>
        <w:vertAlign w:val="baseline"/>
      </w:rPr>
    </w:lvl>
    <w:lvl w:ilvl="7">
      <w:start w:val="1"/>
      <w:numFmt w:val="decimal"/>
      <w:lvlText w:val="%1.%2.%3.%4.%5.%6.%7.%8."/>
      <w:lvlJc w:val="left"/>
      <w:pPr>
        <w:ind w:left="4415" w:hanging="1440"/>
      </w:pPr>
      <w:rPr>
        <w:rFonts w:ascii="Tahoma" w:cs="Tahoma" w:eastAsia="Tahoma" w:hAnsi="Tahoma"/>
        <w:vertAlign w:val="baseline"/>
      </w:rPr>
    </w:lvl>
    <w:lvl w:ilvl="8">
      <w:start w:val="1"/>
      <w:numFmt w:val="decimal"/>
      <w:lvlText w:val="%1.%2.%3.%4.%5.%6.%7.%8.%9."/>
      <w:lvlJc w:val="left"/>
      <w:pPr>
        <w:ind w:left="5200" w:hanging="1800"/>
      </w:pPr>
      <w:rPr>
        <w:rFonts w:ascii="Tahoma" w:cs="Tahoma" w:eastAsia="Tahoma" w:hAnsi="Tahoma"/>
        <w:vertAlign w:val="baseline"/>
      </w:rPr>
    </w:lvl>
  </w:abstractNum>
  <w:abstractNum w:abstractNumId="43">
    <w:lvl w:ilvl="0">
      <w:start w:val="1"/>
      <w:numFmt w:val="decimal"/>
      <w:lvlText w:val="%1)"/>
      <w:lvlJc w:val="left"/>
      <w:pPr>
        <w:ind w:left="357" w:hanging="357"/>
      </w:pPr>
      <w:rPr>
        <w:vertAlign w:val="baseline"/>
      </w:rPr>
    </w:lvl>
    <w:lvl w:ilvl="1">
      <w:start w:val="1"/>
      <w:numFmt w:val="decimal"/>
      <w:lvlText w:val="%1.%2"/>
      <w:lvlJc w:val="left"/>
      <w:pPr>
        <w:ind w:left="943" w:hanging="660"/>
      </w:pPr>
      <w:rPr>
        <w:rFonts w:ascii="Tahoma" w:cs="Tahoma" w:eastAsia="Tahoma" w:hAnsi="Tahoma"/>
        <w:vertAlign w:val="baseline"/>
      </w:rPr>
    </w:lvl>
    <w:lvl w:ilvl="2">
      <w:start w:val="7"/>
      <w:numFmt w:val="decimal"/>
      <w:lvlText w:val="%1.%2.%3"/>
      <w:lvlJc w:val="left"/>
      <w:pPr>
        <w:ind w:left="1286" w:hanging="720"/>
      </w:pPr>
      <w:rPr>
        <w:rFonts w:ascii="Tahoma" w:cs="Tahoma" w:eastAsia="Tahoma" w:hAnsi="Tahoma"/>
        <w:vertAlign w:val="baseline"/>
      </w:rPr>
    </w:lvl>
    <w:lvl w:ilvl="3">
      <w:start w:val="1"/>
      <w:numFmt w:val="decimal"/>
      <w:lvlText w:val="%1.%2.%3.%4"/>
      <w:lvlJc w:val="left"/>
      <w:pPr>
        <w:ind w:left="1569" w:hanging="720"/>
      </w:pPr>
      <w:rPr>
        <w:rFonts w:ascii="Tahoma" w:cs="Tahoma" w:eastAsia="Tahoma" w:hAnsi="Tahoma"/>
        <w:vertAlign w:val="baseline"/>
      </w:rPr>
    </w:lvl>
    <w:lvl w:ilvl="4">
      <w:start w:val="1"/>
      <w:numFmt w:val="decimal"/>
      <w:lvlText w:val="%1.%2.%3.%4.%5"/>
      <w:lvlJc w:val="left"/>
      <w:pPr>
        <w:ind w:left="2212" w:hanging="1080"/>
      </w:pPr>
      <w:rPr>
        <w:rFonts w:ascii="Tahoma" w:cs="Tahoma" w:eastAsia="Tahoma" w:hAnsi="Tahoma"/>
        <w:vertAlign w:val="baseline"/>
      </w:rPr>
    </w:lvl>
    <w:lvl w:ilvl="5">
      <w:start w:val="1"/>
      <w:numFmt w:val="decimal"/>
      <w:lvlText w:val="%1.%2.%3.%4.%5.%6"/>
      <w:lvlJc w:val="left"/>
      <w:pPr>
        <w:ind w:left="2495" w:hanging="1080"/>
      </w:pPr>
      <w:rPr>
        <w:rFonts w:ascii="Tahoma" w:cs="Tahoma" w:eastAsia="Tahoma" w:hAnsi="Tahoma"/>
        <w:vertAlign w:val="baseline"/>
      </w:rPr>
    </w:lvl>
    <w:lvl w:ilvl="6">
      <w:start w:val="1"/>
      <w:numFmt w:val="decimal"/>
      <w:lvlText w:val="%1.%2.%3.%4.%5.%6.%7"/>
      <w:lvlJc w:val="left"/>
      <w:pPr>
        <w:ind w:left="3138" w:hanging="1440"/>
      </w:pPr>
      <w:rPr>
        <w:rFonts w:ascii="Tahoma" w:cs="Tahoma" w:eastAsia="Tahoma" w:hAnsi="Tahoma"/>
        <w:vertAlign w:val="baseline"/>
      </w:rPr>
    </w:lvl>
    <w:lvl w:ilvl="7">
      <w:start w:val="1"/>
      <w:numFmt w:val="decimal"/>
      <w:lvlText w:val="%1.%2.%3.%4.%5.%6.%7.%8"/>
      <w:lvlJc w:val="left"/>
      <w:pPr>
        <w:ind w:left="3421" w:hanging="1438.9999999999993"/>
      </w:pPr>
      <w:rPr>
        <w:rFonts w:ascii="Tahoma" w:cs="Tahoma" w:eastAsia="Tahoma" w:hAnsi="Tahoma"/>
        <w:vertAlign w:val="baseline"/>
      </w:rPr>
    </w:lvl>
    <w:lvl w:ilvl="8">
      <w:start w:val="1"/>
      <w:numFmt w:val="decimal"/>
      <w:lvlText w:val="%1.%2.%3.%4.%5.%6.%7.%8.%9"/>
      <w:lvlJc w:val="left"/>
      <w:pPr>
        <w:ind w:left="4064" w:hanging="1800"/>
      </w:pPr>
      <w:rPr>
        <w:rFonts w:ascii="Tahoma" w:cs="Tahoma" w:eastAsia="Tahoma" w:hAnsi="Tahoma"/>
        <w:vertAlign w:val="baseline"/>
      </w:rPr>
    </w:lvl>
  </w:abstractNum>
  <w:abstractNum w:abstractNumId="44">
    <w:lvl w:ilvl="0">
      <w:start w:val="1"/>
      <w:numFmt w:val="lowerLetter"/>
      <w:lvlText w:val="%1)"/>
      <w:lvlJc w:val="left"/>
      <w:pPr>
        <w:ind w:left="1571" w:hanging="360"/>
      </w:pPr>
      <w:rPr>
        <w:vertAlign w:val="baseline"/>
      </w:rPr>
    </w:lvl>
    <w:lvl w:ilvl="1">
      <w:start w:val="1"/>
      <w:numFmt w:val="lowerLetter"/>
      <w:lvlText w:val="%2."/>
      <w:lvlJc w:val="left"/>
      <w:pPr>
        <w:ind w:left="2291" w:hanging="360"/>
      </w:pPr>
      <w:rPr>
        <w:vertAlign w:val="baseline"/>
      </w:rPr>
    </w:lvl>
    <w:lvl w:ilvl="2">
      <w:start w:val="1"/>
      <w:numFmt w:val="lowerRoman"/>
      <w:lvlText w:val="%3."/>
      <w:lvlJc w:val="right"/>
      <w:pPr>
        <w:ind w:left="3011" w:hanging="180"/>
      </w:pPr>
      <w:rPr>
        <w:vertAlign w:val="baseline"/>
      </w:rPr>
    </w:lvl>
    <w:lvl w:ilvl="3">
      <w:start w:val="1"/>
      <w:numFmt w:val="decimal"/>
      <w:lvlText w:val="%4."/>
      <w:lvlJc w:val="left"/>
      <w:pPr>
        <w:ind w:left="3731" w:hanging="360"/>
      </w:pPr>
      <w:rPr>
        <w:vertAlign w:val="baseline"/>
      </w:rPr>
    </w:lvl>
    <w:lvl w:ilvl="4">
      <w:start w:val="1"/>
      <w:numFmt w:val="lowerLetter"/>
      <w:lvlText w:val="%5."/>
      <w:lvlJc w:val="left"/>
      <w:pPr>
        <w:ind w:left="4451" w:hanging="360"/>
      </w:pPr>
      <w:rPr>
        <w:vertAlign w:val="baseline"/>
      </w:rPr>
    </w:lvl>
    <w:lvl w:ilvl="5">
      <w:start w:val="1"/>
      <w:numFmt w:val="lowerRoman"/>
      <w:lvlText w:val="%6."/>
      <w:lvlJc w:val="right"/>
      <w:pPr>
        <w:ind w:left="5171" w:hanging="180"/>
      </w:pPr>
      <w:rPr>
        <w:vertAlign w:val="baseline"/>
      </w:rPr>
    </w:lvl>
    <w:lvl w:ilvl="6">
      <w:start w:val="1"/>
      <w:numFmt w:val="decimal"/>
      <w:lvlText w:val="%7."/>
      <w:lvlJc w:val="left"/>
      <w:pPr>
        <w:ind w:left="5891" w:hanging="360"/>
      </w:pPr>
      <w:rPr>
        <w:vertAlign w:val="baseline"/>
      </w:rPr>
    </w:lvl>
    <w:lvl w:ilvl="7">
      <w:start w:val="1"/>
      <w:numFmt w:val="lowerLetter"/>
      <w:lvlText w:val="%8."/>
      <w:lvlJc w:val="left"/>
      <w:pPr>
        <w:ind w:left="6611" w:hanging="360"/>
      </w:pPr>
      <w:rPr>
        <w:vertAlign w:val="baseline"/>
      </w:rPr>
    </w:lvl>
    <w:lvl w:ilvl="8">
      <w:start w:val="1"/>
      <w:numFmt w:val="lowerRoman"/>
      <w:lvlText w:val="%9."/>
      <w:lvlJc w:val="right"/>
      <w:pPr>
        <w:ind w:left="7331" w:hanging="180"/>
      </w:pPr>
      <w:rPr>
        <w:vertAlign w:val="baseline"/>
      </w:rPr>
    </w:lvl>
  </w:abstractNum>
  <w:abstractNum w:abstractNumId="45">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pl"/>
      </w:rPr>
    </w:rPrDefault>
    <w:pPrDefault>
      <w:pPr>
        <w:spacing w:after="120" w:lineRule="auto"/>
        <w:ind w:hanging="1"/>
        <w:jc w:val="both"/>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spacing w:after="240" w:before="240" w:lineRule="auto"/>
      <w:jc w:val="center"/>
    </w:pPr>
    <w:rPr>
      <w:b w:val="1"/>
      <w:bCs w:val="1"/>
      <w:sz w:val="28"/>
      <w:szCs w:val="28"/>
    </w:rPr>
  </w:style>
  <w:style w:type="paragraph" w:styleId="Heading2">
    <w:name w:val="heading 2"/>
    <w:basedOn w:val="Normal"/>
    <w:next w:val="Normal"/>
    <w:pPr>
      <w:keepNext w:val="1"/>
      <w:jc w:val="left"/>
    </w:pPr>
    <w:rPr>
      <w:b w:val="1"/>
      <w:bCs w:val="1"/>
    </w:rPr>
  </w:style>
  <w:style w:type="paragraph" w:styleId="Heading3">
    <w:name w:val="heading 3"/>
    <w:basedOn w:val="Normal"/>
    <w:next w:val="Normal"/>
    <w:pPr>
      <w:keepNext w:val="1"/>
      <w:spacing w:after="0" w:lineRule="auto"/>
      <w:ind w:left="567" w:firstLine="0"/>
    </w:pPr>
    <w:rPr>
      <w:sz w:val="28"/>
      <w:szCs w:val="28"/>
      <w:u w:val="single"/>
    </w:rPr>
  </w:style>
  <w:style w:type="paragraph" w:styleId="Heading4">
    <w:name w:val="heading 4"/>
    <w:basedOn w:val="Normal"/>
    <w:next w:val="Normal"/>
    <w:pPr>
      <w:keepNext w:val="1"/>
      <w:spacing w:after="0" w:lineRule="auto"/>
      <w:ind w:left="1843" w:hanging="283.0000000000001"/>
    </w:pPr>
    <w:rPr>
      <w:b w:val="1"/>
      <w:bCs w:val="1"/>
      <w:sz w:val="28"/>
      <w:szCs w:val="28"/>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spacing w:after="60" w:before="240" w:lineRule="auto"/>
      <w:jc w:val="center"/>
    </w:pPr>
    <w:rPr>
      <w:rFonts w:ascii="Arial" w:cs="Arial" w:eastAsia="Arial" w:hAnsi="Arial"/>
      <w:b w:val="1"/>
      <w:bCs w:val="1"/>
      <w:sz w:val="32"/>
      <w:szCs w:val="32"/>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Nagwek8">
    <w:name w:val="heading 8"/>
    <w:basedOn w:val="Normalny"/>
    <w:next w:val="Normalny"/>
    <w:pPr>
      <w:keepNext w:val="1"/>
      <w:numPr>
        <w:numId w:val="5"/>
      </w:numPr>
      <w:tabs>
        <w:tab w:val="left" w:pos="170"/>
      </w:tabs>
      <w:spacing w:after="0"/>
      <w:ind w:left="-1" w:hanging="1"/>
      <w:jc w:val="left"/>
      <w:outlineLvl w:val="7"/>
    </w:pPr>
    <w:rPr>
      <w:rFonts w:ascii="Arial" w:cs="Arial" w:hAnsi="Arial"/>
      <w:b w:val="1"/>
      <w:spacing w:val="-2"/>
      <w:sz w:val="28"/>
      <w:szCs w:val="20"/>
    </w:rPr>
  </w:style>
  <w:style w:type="paragraph" w:styleId="Nagwek9">
    <w:name w:val="heading 9"/>
    <w:basedOn w:val="Normalny"/>
    <w:next w:val="Normalny"/>
    <w:pPr>
      <w:keepNext w:val="1"/>
      <w:numPr>
        <w:numId w:val="6"/>
      </w:numPr>
      <w:spacing w:after="0" w:line="360" w:lineRule="auto"/>
      <w:ind w:left="-1" w:hanging="1"/>
      <w:jc w:val="left"/>
      <w:outlineLvl w:val="8"/>
    </w:pPr>
    <w:rPr>
      <w:rFonts w:ascii="Arial" w:cs="Arial" w:hAnsi="Arial"/>
      <w:b w:val="1"/>
      <w:spacing w:val="-2"/>
      <w:sz w:val="28"/>
      <w:szCs w:val="20"/>
    </w:rPr>
  </w:style>
  <w:style w:type="character" w:styleId="Domylnaczcionkaakapitu" w:default="1">
    <w:name w:val="Default Paragraph Font"/>
    <w:uiPriority w:val="1"/>
    <w:semiHidden w:val="1"/>
    <w:unhideWhenUsed w:val="1"/>
  </w:style>
  <w:style w:type="table" w:styleId="Standardowy" w:default="1">
    <w:name w:val="Normal Table"/>
    <w:uiPriority w:val="99"/>
    <w:semiHidden w:val="1"/>
    <w:unhideWhenUsed w:val="1"/>
    <w:tblPr>
      <w:tblInd w:w="0.0" w:type="dxa"/>
      <w:tblCellMar>
        <w:top w:w="0.0" w:type="dxa"/>
        <w:left w:w="108.0" w:type="dxa"/>
        <w:bottom w:w="0.0" w:type="dxa"/>
        <w:right w:w="108.0" w:type="dxa"/>
      </w:tblCellMar>
    </w:tblPr>
  </w:style>
  <w:style w:type="numbering" w:styleId="Bezlisty" w:default="1">
    <w:name w:val="No List"/>
    <w:uiPriority w:val="99"/>
    <w:semiHidden w:val="1"/>
    <w:unhideWhenUsed w:val="1"/>
  </w:style>
  <w:style w:type="table" w:styleId="TableNormal" w:customStyle="1">
    <w:name w:val="Table Normal"/>
    <w:tblPr>
      <w:tblCellMar>
        <w:top w:w="0.0" w:type="dxa"/>
        <w:left w:w="0.0" w:type="dxa"/>
        <w:bottom w:w="0.0" w:type="dxa"/>
        <w:right w:w="0.0" w:type="dxa"/>
      </w:tblCellMar>
    </w:tblPr>
  </w:style>
  <w:style w:type="character" w:styleId="WW8Num1z0" w:customStyle="1">
    <w:name w:val="WW8Num1z0"/>
    <w:rPr>
      <w:rFonts w:ascii="Symbol" w:cs="Symbol" w:hAnsi="Symbol" w:hint="default"/>
      <w:w w:val="100"/>
      <w:position w:val="-1"/>
      <w:effect w:val="none"/>
      <w:vertAlign w:val="baseline"/>
      <w:cs w:val="0"/>
      <w:em w:val="none"/>
    </w:rPr>
  </w:style>
  <w:style w:type="character" w:styleId="WW8Num1z1" w:customStyle="1">
    <w:name w:val="WW8Num1z1"/>
    <w:rPr>
      <w:w w:val="100"/>
      <w:position w:val="-1"/>
      <w:effect w:val="none"/>
      <w:vertAlign w:val="baseline"/>
      <w:cs w:val="0"/>
      <w:em w:val="none"/>
    </w:rPr>
  </w:style>
  <w:style w:type="character" w:styleId="WW8Num1z2" w:customStyle="1">
    <w:name w:val="WW8Num1z2"/>
    <w:rPr>
      <w:w w:val="100"/>
      <w:position w:val="-1"/>
      <w:effect w:val="none"/>
      <w:vertAlign w:val="baseline"/>
      <w:cs w:val="0"/>
      <w:em w:val="none"/>
    </w:rPr>
  </w:style>
  <w:style w:type="character" w:styleId="WW8Num1z3" w:customStyle="1">
    <w:name w:val="WW8Num1z3"/>
    <w:rPr>
      <w:w w:val="100"/>
      <w:position w:val="-1"/>
      <w:effect w:val="none"/>
      <w:vertAlign w:val="baseline"/>
      <w:cs w:val="0"/>
      <w:em w:val="none"/>
    </w:rPr>
  </w:style>
  <w:style w:type="character" w:styleId="WW8Num1z4" w:customStyle="1">
    <w:name w:val="WW8Num1z4"/>
    <w:rPr>
      <w:w w:val="100"/>
      <w:position w:val="-1"/>
      <w:effect w:val="none"/>
      <w:vertAlign w:val="baseline"/>
      <w:cs w:val="0"/>
      <w:em w:val="none"/>
    </w:rPr>
  </w:style>
  <w:style w:type="character" w:styleId="WW8Num1z5" w:customStyle="1">
    <w:name w:val="WW8Num1z5"/>
    <w:rPr>
      <w:w w:val="100"/>
      <w:position w:val="-1"/>
      <w:effect w:val="none"/>
      <w:vertAlign w:val="baseline"/>
      <w:cs w:val="0"/>
      <w:em w:val="none"/>
    </w:rPr>
  </w:style>
  <w:style w:type="character" w:styleId="WW8Num1z6" w:customStyle="1">
    <w:name w:val="WW8Num1z6"/>
    <w:rPr>
      <w:w w:val="100"/>
      <w:position w:val="-1"/>
      <w:effect w:val="none"/>
      <w:vertAlign w:val="baseline"/>
      <w:cs w:val="0"/>
      <w:em w:val="none"/>
    </w:rPr>
  </w:style>
  <w:style w:type="character" w:styleId="WW8Num1z7" w:customStyle="1">
    <w:name w:val="WW8Num1z7"/>
    <w:rPr>
      <w:w w:val="100"/>
      <w:position w:val="-1"/>
      <w:effect w:val="none"/>
      <w:vertAlign w:val="baseline"/>
      <w:cs w:val="0"/>
      <w:em w:val="none"/>
    </w:rPr>
  </w:style>
  <w:style w:type="character" w:styleId="WW8Num1z8" w:customStyle="1">
    <w:name w:val="WW8Num1z8"/>
    <w:rPr>
      <w:w w:val="100"/>
      <w:position w:val="-1"/>
      <w:effect w:val="none"/>
      <w:vertAlign w:val="baseline"/>
      <w:cs w:val="0"/>
      <w:em w:val="none"/>
    </w:rPr>
  </w:style>
  <w:style w:type="character" w:styleId="WW8Num2z0" w:customStyle="1">
    <w:name w:val="WW8Num2z0"/>
    <w:rPr>
      <w:w w:val="100"/>
      <w:position w:val="-1"/>
      <w:effect w:val="none"/>
      <w:vertAlign w:val="baseline"/>
      <w:cs w:val="0"/>
      <w:em w:val="none"/>
    </w:rPr>
  </w:style>
  <w:style w:type="character" w:styleId="WW8Num3z0" w:customStyle="1">
    <w:name w:val="WW8Num3z0"/>
    <w:rPr>
      <w:rFonts w:ascii="Tahoma" w:cs="Tahoma" w:hAnsi="Tahoma" w:hint="default"/>
      <w:w w:val="100"/>
      <w:position w:val="-1"/>
      <w:effect w:val="none"/>
      <w:vertAlign w:val="baseline"/>
      <w:cs w:val="0"/>
      <w:em w:val="none"/>
      <w:lang w:val="pl-PL"/>
    </w:rPr>
  </w:style>
  <w:style w:type="character" w:styleId="WW8Num4z0" w:customStyle="1">
    <w:name w:val="WW8Num4z0"/>
    <w:rPr>
      <w:rFonts w:ascii="Tahoma" w:cs="Tahoma" w:hAnsi="Tahoma" w:hint="default"/>
      <w:w w:val="100"/>
      <w:position w:val="-1"/>
      <w:szCs w:val="24"/>
      <w:effect w:val="none"/>
      <w:vertAlign w:val="superscript"/>
      <w:cs w:val="0"/>
      <w:em w:val="none"/>
    </w:rPr>
  </w:style>
  <w:style w:type="character" w:styleId="WW8Num5z0" w:customStyle="1">
    <w:name w:val="WW8Num5z0"/>
    <w:rPr>
      <w:rFonts w:ascii="Tahoma" w:cs="Tahoma" w:hAnsi="Tahoma" w:hint="default"/>
      <w:w w:val="100"/>
      <w:position w:val="-1"/>
      <w:szCs w:val="24"/>
      <w:effect w:val="none"/>
      <w:vertAlign w:val="baseline"/>
      <w:cs w:val="0"/>
      <w:em w:val="none"/>
    </w:rPr>
  </w:style>
  <w:style w:type="character" w:styleId="WW8Num6z0" w:customStyle="1">
    <w:name w:val="WW8Num6z0"/>
    <w:rPr>
      <w:rFonts w:ascii="Tahoma" w:cs="Tahoma" w:hAnsi="Tahoma" w:hint="default"/>
      <w:w w:val="100"/>
      <w:position w:val="-1"/>
      <w:effect w:val="none"/>
      <w:vertAlign w:val="baseline"/>
      <w:cs w:val="0"/>
      <w:em w:val="none"/>
    </w:rPr>
  </w:style>
  <w:style w:type="character" w:styleId="WW8Num7z0" w:customStyle="1">
    <w:name w:val="WW8Num7z0"/>
    <w:rPr>
      <w:rFonts w:ascii="Tahoma" w:cs="Tahoma" w:hAnsi="Tahoma" w:hint="default"/>
      <w:w w:val="100"/>
      <w:position w:val="-1"/>
      <w:effect w:val="none"/>
      <w:vertAlign w:val="baseline"/>
      <w:cs w:val="0"/>
      <w:em w:val="none"/>
    </w:rPr>
  </w:style>
  <w:style w:type="character" w:styleId="WW8Num8z0" w:customStyle="1">
    <w:name w:val="WW8Num8z0"/>
    <w:rPr>
      <w:rFonts w:ascii="Tahoma" w:cs="Tahoma" w:hAnsi="Tahoma" w:hint="default"/>
      <w:spacing w:val="6"/>
      <w:w w:val="100"/>
      <w:position w:val="-1"/>
      <w:effect w:val="none"/>
      <w:vertAlign w:val="baseline"/>
      <w:cs w:val="0"/>
      <w:em w:val="none"/>
    </w:rPr>
  </w:style>
  <w:style w:type="character" w:styleId="WW8Num9z0" w:customStyle="1">
    <w:name w:val="WW8Num9z0"/>
    <w:rPr>
      <w:rFonts w:ascii="Tahoma" w:cs="Tahoma" w:hAnsi="Tahoma" w:hint="default"/>
      <w:w w:val="100"/>
      <w:position w:val="-1"/>
      <w:effect w:val="none"/>
      <w:vertAlign w:val="baseline"/>
      <w:cs w:val="0"/>
      <w:em w:val="none"/>
    </w:rPr>
  </w:style>
  <w:style w:type="character" w:styleId="WW8Num10z0" w:customStyle="1">
    <w:name w:val="WW8Num10z0"/>
    <w:rPr>
      <w:rFonts w:ascii="Tahoma" w:cs="Tahoma" w:eastAsia="Times New Roman" w:hAnsi="Tahoma" w:hint="default"/>
      <w:w w:val="100"/>
      <w:position w:val="-1"/>
      <w:sz w:val="24"/>
      <w:szCs w:val="24"/>
      <w:effect w:val="none"/>
      <w:vertAlign w:val="baseline"/>
      <w:cs w:val="0"/>
      <w:em w:val="none"/>
      <w:lang w:bidi="ar-SA" w:eastAsia="ar-SA" w:val="pl-PL"/>
    </w:rPr>
  </w:style>
  <w:style w:type="character" w:styleId="WW8Num11z0" w:customStyle="1">
    <w:name w:val="WW8Num11z0"/>
    <w:rPr>
      <w:rFonts w:ascii="Tahoma" w:cs="Tahoma" w:hAnsi="Tahoma" w:hint="default"/>
      <w:w w:val="100"/>
      <w:position w:val="-1"/>
      <w:sz w:val="24"/>
      <w:effect w:val="none"/>
      <w:vertAlign w:val="baseline"/>
      <w:cs w:val="0"/>
      <w:em w:val="none"/>
    </w:rPr>
  </w:style>
  <w:style w:type="character" w:styleId="WW8Num12z0" w:customStyle="1">
    <w:name w:val="WW8Num12z0"/>
    <w:rPr>
      <w:rFonts w:ascii="Tahoma" w:cs="Tahoma" w:hAnsi="Tahoma" w:hint="default"/>
      <w:spacing w:val="6"/>
      <w:w w:val="100"/>
      <w:position w:val="-1"/>
      <w:effect w:val="none"/>
      <w:vertAlign w:val="baseline"/>
      <w:cs w:val="0"/>
      <w:em w:val="none"/>
    </w:rPr>
  </w:style>
  <w:style w:type="character" w:styleId="WW8Num13z0" w:customStyle="1">
    <w:name w:val="WW8Num13z0"/>
    <w:rPr>
      <w:w w:val="100"/>
      <w:position w:val="-1"/>
      <w:effect w:val="none"/>
      <w:vertAlign w:val="baseline"/>
      <w:cs w:val="0"/>
      <w:em w:val="none"/>
    </w:rPr>
  </w:style>
  <w:style w:type="character" w:styleId="WW8Num14z0" w:customStyle="1">
    <w:name w:val="WW8Num14z0"/>
    <w:rPr>
      <w:rFonts w:ascii="Tahoma" w:cs="Tahoma" w:hAnsi="Tahoma" w:hint="default"/>
      <w:w w:val="100"/>
      <w:position w:val="-1"/>
      <w:effect w:val="none"/>
      <w:vertAlign w:val="baseline"/>
      <w:cs w:val="0"/>
      <w:em w:val="none"/>
      <w:lang w:val="pl-PL"/>
    </w:rPr>
  </w:style>
  <w:style w:type="character" w:styleId="WW8Num15z0" w:customStyle="1">
    <w:name w:val="WW8Num15z0"/>
    <w:rPr>
      <w:rFonts w:ascii="Tahoma" w:cs="Tahoma" w:hAnsi="Tahoma" w:hint="default"/>
      <w:bCs w:val="1"/>
      <w:w w:val="100"/>
      <w:position w:val="-1"/>
      <w:szCs w:val="22"/>
      <w:effect w:val="none"/>
      <w:vertAlign w:val="baseline"/>
      <w:cs w:val="0"/>
      <w:em w:val="none"/>
    </w:rPr>
  </w:style>
  <w:style w:type="character" w:styleId="WW8Num16z0" w:customStyle="1">
    <w:name w:val="WW8Num16z0"/>
    <w:rPr>
      <w:rFonts w:ascii="Tahoma" w:cs="Tahoma" w:hAnsi="Tahoma" w:hint="default"/>
      <w:w w:val="100"/>
      <w:position w:val="-1"/>
      <w:effect w:val="none"/>
      <w:vertAlign w:val="baseline"/>
      <w:cs w:val="0"/>
      <w:em w:val="none"/>
    </w:rPr>
  </w:style>
  <w:style w:type="character" w:styleId="WW8Num16z1" w:customStyle="1">
    <w:name w:val="WW8Num16z1"/>
    <w:rPr>
      <w:w w:val="100"/>
      <w:position w:val="-1"/>
      <w:effect w:val="none"/>
      <w:vertAlign w:val="baseline"/>
      <w:cs w:val="0"/>
      <w:em w:val="none"/>
    </w:rPr>
  </w:style>
  <w:style w:type="character" w:styleId="WW8Num16z4" w:customStyle="1">
    <w:name w:val="WW8Num16z4"/>
    <w:rPr>
      <w:w w:val="100"/>
      <w:position w:val="-1"/>
      <w:effect w:val="none"/>
      <w:vertAlign w:val="baseline"/>
      <w:cs w:val="0"/>
      <w:em w:val="none"/>
    </w:rPr>
  </w:style>
  <w:style w:type="character" w:styleId="WW8Num16z5" w:customStyle="1">
    <w:name w:val="WW8Num16z5"/>
    <w:rPr>
      <w:w w:val="100"/>
      <w:position w:val="-1"/>
      <w:effect w:val="none"/>
      <w:vertAlign w:val="baseline"/>
      <w:cs w:val="0"/>
      <w:em w:val="none"/>
    </w:rPr>
  </w:style>
  <w:style w:type="character" w:styleId="WW8Num16z6" w:customStyle="1">
    <w:name w:val="WW8Num16z6"/>
    <w:rPr>
      <w:w w:val="100"/>
      <w:position w:val="-1"/>
      <w:effect w:val="none"/>
      <w:vertAlign w:val="baseline"/>
      <w:cs w:val="0"/>
      <w:em w:val="none"/>
    </w:rPr>
  </w:style>
  <w:style w:type="character" w:styleId="WW8Num16z7" w:customStyle="1">
    <w:name w:val="WW8Num16z7"/>
    <w:rPr>
      <w:w w:val="100"/>
      <w:position w:val="-1"/>
      <w:effect w:val="none"/>
      <w:vertAlign w:val="baseline"/>
      <w:cs w:val="0"/>
      <w:em w:val="none"/>
    </w:rPr>
  </w:style>
  <w:style w:type="character" w:styleId="WW8Num16z8" w:customStyle="1">
    <w:name w:val="WW8Num16z8"/>
    <w:rPr>
      <w:w w:val="100"/>
      <w:position w:val="-1"/>
      <w:effect w:val="none"/>
      <w:vertAlign w:val="baseline"/>
      <w:cs w:val="0"/>
      <w:em w:val="none"/>
    </w:rPr>
  </w:style>
  <w:style w:type="character" w:styleId="WW8Num17z0" w:customStyle="1">
    <w:name w:val="WW8Num17z0"/>
    <w:rPr>
      <w:rFonts w:ascii="Tahoma" w:cs="Tahoma" w:hAnsi="Tahoma" w:hint="default"/>
      <w:w w:val="100"/>
      <w:position w:val="-1"/>
      <w:effect w:val="none"/>
      <w:vertAlign w:val="baseline"/>
      <w:cs w:val="0"/>
      <w:em w:val="none"/>
    </w:rPr>
  </w:style>
  <w:style w:type="character" w:styleId="WW8Num18z0" w:customStyle="1">
    <w:name w:val="WW8Num18z0"/>
    <w:rPr>
      <w:rFonts w:ascii="Tahoma" w:cs="Tahoma" w:hAnsi="Tahoma" w:hint="default"/>
      <w:w w:val="100"/>
      <w:position w:val="-1"/>
      <w:effect w:val="none"/>
      <w:vertAlign w:val="baseline"/>
      <w:cs w:val="0"/>
      <w:em w:val="none"/>
    </w:rPr>
  </w:style>
  <w:style w:type="character" w:styleId="WW8Num18z1" w:customStyle="1">
    <w:name w:val="WW8Num18z1"/>
    <w:rPr>
      <w:rFonts w:ascii="Symbol" w:cs="Symbol" w:hAnsi="Symbol" w:hint="default"/>
      <w:w w:val="100"/>
      <w:position w:val="-1"/>
      <w:effect w:val="none"/>
      <w:vertAlign w:val="baseline"/>
      <w:cs w:val="0"/>
      <w:em w:val="none"/>
    </w:rPr>
  </w:style>
  <w:style w:type="character" w:styleId="WW8Num18z2" w:customStyle="1">
    <w:name w:val="WW8Num18z2"/>
    <w:rPr>
      <w:rFonts w:ascii="Wingdings" w:cs="Wingdings" w:hAnsi="Wingdings" w:hint="default"/>
      <w:w w:val="100"/>
      <w:position w:val="-1"/>
      <w:effect w:val="none"/>
      <w:vertAlign w:val="baseline"/>
      <w:cs w:val="0"/>
      <w:em w:val="none"/>
    </w:rPr>
  </w:style>
  <w:style w:type="character" w:styleId="WW8Num18z4" w:customStyle="1">
    <w:name w:val="WW8Num18z4"/>
    <w:rPr>
      <w:w w:val="100"/>
      <w:position w:val="-1"/>
      <w:effect w:val="none"/>
      <w:vertAlign w:val="baseline"/>
      <w:cs w:val="0"/>
      <w:em w:val="none"/>
    </w:rPr>
  </w:style>
  <w:style w:type="character" w:styleId="WW8Num19z0" w:customStyle="1">
    <w:name w:val="WW8Num19z0"/>
    <w:rPr>
      <w:w w:val="100"/>
      <w:position w:val="-1"/>
      <w:effect w:val="none"/>
      <w:vertAlign w:val="baseline"/>
      <w:cs w:val="0"/>
      <w:em w:val="none"/>
    </w:rPr>
  </w:style>
  <w:style w:type="character" w:styleId="WW8Num20z0" w:customStyle="1">
    <w:name w:val="WW8Num20z0"/>
    <w:rPr>
      <w:w w:val="100"/>
      <w:position w:val="-1"/>
      <w:effect w:val="none"/>
      <w:vertAlign w:val="baseline"/>
      <w:cs w:val="0"/>
      <w:em w:val="none"/>
    </w:rPr>
  </w:style>
  <w:style w:type="character" w:styleId="WW8Num21z0" w:customStyle="1">
    <w:name w:val="WW8Num21z0"/>
    <w:rPr>
      <w:rFonts w:ascii="Tahoma" w:cs="Tahoma" w:hAnsi="Tahoma" w:hint="default"/>
      <w:spacing w:val="6"/>
      <w:w w:val="100"/>
      <w:position w:val="-1"/>
      <w:effect w:val="none"/>
      <w:vertAlign w:val="baseline"/>
      <w:cs w:val="0"/>
      <w:em w:val="none"/>
    </w:rPr>
  </w:style>
  <w:style w:type="character" w:styleId="WW8Num21z1" w:customStyle="1">
    <w:name w:val="WW8Num21z1"/>
    <w:rPr>
      <w:rFonts w:ascii="Tahoma" w:cs="Tahoma" w:hAnsi="Tahoma" w:hint="default"/>
      <w:w w:val="100"/>
      <w:position w:val="-1"/>
      <w:effect w:val="none"/>
      <w:vertAlign w:val="baseline"/>
      <w:cs w:val="0"/>
      <w:em w:val="none"/>
    </w:rPr>
  </w:style>
  <w:style w:type="character" w:styleId="WW8Num21z2" w:customStyle="1">
    <w:name w:val="WW8Num21z2"/>
    <w:rPr>
      <w:rFonts w:ascii="Wingdings" w:cs="Wingdings" w:hAnsi="Wingdings" w:hint="default"/>
      <w:w w:val="100"/>
      <w:position w:val="-1"/>
      <w:effect w:val="none"/>
      <w:vertAlign w:val="baseline"/>
      <w:cs w:val="0"/>
      <w:em w:val="none"/>
    </w:rPr>
  </w:style>
  <w:style w:type="character" w:styleId="WW8Num21z3" w:customStyle="1">
    <w:name w:val="WW8Num21z3"/>
    <w:rPr>
      <w:w w:val="100"/>
      <w:position w:val="-1"/>
      <w:effect w:val="none"/>
      <w:vertAlign w:val="baseline"/>
      <w:cs w:val="0"/>
      <w:em w:val="none"/>
    </w:rPr>
  </w:style>
  <w:style w:type="character" w:styleId="WW8Num21z4" w:customStyle="1">
    <w:name w:val="WW8Num21z4"/>
    <w:rPr>
      <w:rFonts w:ascii="Courier New" w:cs="Courier New" w:hAnsi="Courier New" w:hint="default"/>
      <w:w w:val="100"/>
      <w:position w:val="-1"/>
      <w:effect w:val="none"/>
      <w:vertAlign w:val="baseline"/>
      <w:cs w:val="0"/>
      <w:em w:val="none"/>
    </w:rPr>
  </w:style>
  <w:style w:type="character" w:styleId="WW8Num21z5" w:customStyle="1">
    <w:name w:val="WW8Num21z5"/>
    <w:rPr>
      <w:w w:val="100"/>
      <w:position w:val="-1"/>
      <w:effect w:val="none"/>
      <w:vertAlign w:val="baseline"/>
      <w:cs w:val="0"/>
      <w:em w:val="none"/>
    </w:rPr>
  </w:style>
  <w:style w:type="character" w:styleId="WW8Num21z6" w:customStyle="1">
    <w:name w:val="WW8Num21z6"/>
    <w:rPr>
      <w:w w:val="100"/>
      <w:position w:val="-1"/>
      <w:effect w:val="none"/>
      <w:vertAlign w:val="baseline"/>
      <w:cs w:val="0"/>
      <w:em w:val="none"/>
    </w:rPr>
  </w:style>
  <w:style w:type="character" w:styleId="WW8Num21z7" w:customStyle="1">
    <w:name w:val="WW8Num21z7"/>
    <w:rPr>
      <w:w w:val="100"/>
      <w:position w:val="-1"/>
      <w:effect w:val="none"/>
      <w:vertAlign w:val="baseline"/>
      <w:cs w:val="0"/>
      <w:em w:val="none"/>
    </w:rPr>
  </w:style>
  <w:style w:type="character" w:styleId="WW8Num21z8" w:customStyle="1">
    <w:name w:val="WW8Num21z8"/>
    <w:rPr>
      <w:w w:val="100"/>
      <w:position w:val="-1"/>
      <w:effect w:val="none"/>
      <w:vertAlign w:val="baseline"/>
      <w:cs w:val="0"/>
      <w:em w:val="none"/>
    </w:rPr>
  </w:style>
  <w:style w:type="character" w:styleId="WW8Num22z0" w:customStyle="1">
    <w:name w:val="WW8Num22z0"/>
    <w:rPr>
      <w:w w:val="100"/>
      <w:position w:val="-1"/>
      <w:effect w:val="none"/>
      <w:vertAlign w:val="baseline"/>
      <w:cs w:val="0"/>
      <w:em w:val="none"/>
    </w:rPr>
  </w:style>
  <w:style w:type="character" w:styleId="WW8Num23z0" w:customStyle="1">
    <w:name w:val="WW8Num23z0"/>
    <w:rPr>
      <w:w w:val="100"/>
      <w:position w:val="-1"/>
      <w:effect w:val="none"/>
      <w:vertAlign w:val="baseline"/>
      <w:cs w:val="0"/>
      <w:em w:val="none"/>
      <w:lang w:val="pl-PL"/>
    </w:rPr>
  </w:style>
  <w:style w:type="character" w:styleId="WW8Num23z1" w:customStyle="1">
    <w:name w:val="WW8Num23z1"/>
    <w:rPr>
      <w:w w:val="100"/>
      <w:position w:val="-1"/>
      <w:effect w:val="none"/>
      <w:vertAlign w:val="baseline"/>
      <w:cs w:val="0"/>
      <w:em w:val="none"/>
    </w:rPr>
  </w:style>
  <w:style w:type="character" w:styleId="WW8Num23z2" w:customStyle="1">
    <w:name w:val="WW8Num23z2"/>
    <w:rPr>
      <w:w w:val="100"/>
      <w:position w:val="-1"/>
      <w:effect w:val="none"/>
      <w:vertAlign w:val="baseline"/>
      <w:cs w:val="0"/>
      <w:em w:val="none"/>
    </w:rPr>
  </w:style>
  <w:style w:type="character" w:styleId="WW8Num23z3" w:customStyle="1">
    <w:name w:val="WW8Num23z3"/>
    <w:rPr>
      <w:rFonts w:ascii="Tahoma" w:cs="Tahoma" w:eastAsia="Times New Roman" w:hAnsi="Tahoma"/>
      <w:b w:val="0"/>
      <w:bCs w:val="0"/>
      <w:w w:val="100"/>
      <w:position w:val="-1"/>
      <w:sz w:val="24"/>
      <w:szCs w:val="24"/>
      <w:effect w:val="none"/>
      <w:vertAlign w:val="baseline"/>
      <w:cs w:val="0"/>
      <w:em w:val="none"/>
      <w:lang w:bidi="ar-SA" w:eastAsia="ar-SA" w:val="pl-PL"/>
    </w:rPr>
  </w:style>
  <w:style w:type="character" w:styleId="WW8Num23z4" w:customStyle="1">
    <w:name w:val="WW8Num23z4"/>
    <w:rPr>
      <w:w w:val="100"/>
      <w:position w:val="-1"/>
      <w:effect w:val="none"/>
      <w:vertAlign w:val="baseline"/>
      <w:cs w:val="0"/>
      <w:em w:val="none"/>
    </w:rPr>
  </w:style>
  <w:style w:type="character" w:styleId="WW8Num23z5" w:customStyle="1">
    <w:name w:val="WW8Num23z5"/>
    <w:rPr>
      <w:w w:val="100"/>
      <w:position w:val="-1"/>
      <w:effect w:val="none"/>
      <w:vertAlign w:val="baseline"/>
      <w:cs w:val="0"/>
      <w:em w:val="none"/>
    </w:rPr>
  </w:style>
  <w:style w:type="character" w:styleId="WW8Num23z6" w:customStyle="1">
    <w:name w:val="WW8Num23z6"/>
    <w:rPr>
      <w:w w:val="100"/>
      <w:position w:val="-1"/>
      <w:effect w:val="none"/>
      <w:vertAlign w:val="baseline"/>
      <w:cs w:val="0"/>
      <w:em w:val="none"/>
    </w:rPr>
  </w:style>
  <w:style w:type="character" w:styleId="WW8Num23z7" w:customStyle="1">
    <w:name w:val="WW8Num23z7"/>
    <w:rPr>
      <w:w w:val="100"/>
      <w:position w:val="-1"/>
      <w:effect w:val="none"/>
      <w:vertAlign w:val="baseline"/>
      <w:cs w:val="0"/>
      <w:em w:val="none"/>
    </w:rPr>
  </w:style>
  <w:style w:type="character" w:styleId="WW8Num23z8" w:customStyle="1">
    <w:name w:val="WW8Num23z8"/>
    <w:rPr>
      <w:w w:val="100"/>
      <w:position w:val="-1"/>
      <w:effect w:val="none"/>
      <w:vertAlign w:val="baseline"/>
      <w:cs w:val="0"/>
      <w:em w:val="none"/>
    </w:rPr>
  </w:style>
  <w:style w:type="character" w:styleId="WW8Num24z0" w:customStyle="1">
    <w:name w:val="WW8Num24z0"/>
    <w:rPr>
      <w:w w:val="100"/>
      <w:position w:val="-1"/>
      <w:effect w:val="none"/>
      <w:vertAlign w:val="baseline"/>
      <w:cs w:val="0"/>
      <w:em w:val="none"/>
    </w:rPr>
  </w:style>
  <w:style w:type="character" w:styleId="WW8Num25z0" w:customStyle="1">
    <w:name w:val="WW8Num25z0"/>
    <w:rPr>
      <w:w w:val="100"/>
      <w:position w:val="-1"/>
      <w:effect w:val="none"/>
      <w:vertAlign w:val="baseline"/>
      <w:cs w:val="0"/>
      <w:em w:val="none"/>
    </w:rPr>
  </w:style>
  <w:style w:type="character" w:styleId="WW8Num26z0" w:customStyle="1">
    <w:name w:val="WW8Num26z0"/>
    <w:rPr>
      <w:w w:val="100"/>
      <w:position w:val="-1"/>
      <w:effect w:val="none"/>
      <w:vertAlign w:val="baseline"/>
      <w:cs w:val="0"/>
      <w:em w:val="none"/>
    </w:rPr>
  </w:style>
  <w:style w:type="character" w:styleId="WW8Num26z1" w:customStyle="1">
    <w:name w:val="WW8Num26z1"/>
    <w:rPr>
      <w:w w:val="100"/>
      <w:position w:val="-1"/>
      <w:effect w:val="none"/>
      <w:vertAlign w:val="baseline"/>
      <w:cs w:val="0"/>
      <w:em w:val="none"/>
    </w:rPr>
  </w:style>
  <w:style w:type="character" w:styleId="WW8Num26z2" w:customStyle="1">
    <w:name w:val="WW8Num26z2"/>
    <w:rPr>
      <w:w w:val="100"/>
      <w:position w:val="-1"/>
      <w:effect w:val="none"/>
      <w:vertAlign w:val="baseline"/>
      <w:cs w:val="0"/>
      <w:em w:val="none"/>
    </w:rPr>
  </w:style>
  <w:style w:type="character" w:styleId="WW8Num26z3" w:customStyle="1">
    <w:name w:val="WW8Num26z3"/>
    <w:rPr>
      <w:w w:val="100"/>
      <w:position w:val="-1"/>
      <w:effect w:val="none"/>
      <w:vertAlign w:val="baseline"/>
      <w:cs w:val="0"/>
      <w:em w:val="none"/>
    </w:rPr>
  </w:style>
  <w:style w:type="character" w:styleId="WW8Num26z4" w:customStyle="1">
    <w:name w:val="WW8Num26z4"/>
    <w:rPr>
      <w:w w:val="100"/>
      <w:position w:val="-1"/>
      <w:effect w:val="none"/>
      <w:vertAlign w:val="baseline"/>
      <w:cs w:val="0"/>
      <w:em w:val="none"/>
    </w:rPr>
  </w:style>
  <w:style w:type="character" w:styleId="WW8Num26z5" w:customStyle="1">
    <w:name w:val="WW8Num26z5"/>
    <w:rPr>
      <w:w w:val="100"/>
      <w:position w:val="-1"/>
      <w:effect w:val="none"/>
      <w:vertAlign w:val="baseline"/>
      <w:cs w:val="0"/>
      <w:em w:val="none"/>
    </w:rPr>
  </w:style>
  <w:style w:type="character" w:styleId="WW8Num26z6" w:customStyle="1">
    <w:name w:val="WW8Num26z6"/>
    <w:rPr>
      <w:w w:val="100"/>
      <w:position w:val="-1"/>
      <w:effect w:val="none"/>
      <w:vertAlign w:val="baseline"/>
      <w:cs w:val="0"/>
      <w:em w:val="none"/>
    </w:rPr>
  </w:style>
  <w:style w:type="character" w:styleId="WW8Num26z7" w:customStyle="1">
    <w:name w:val="WW8Num26z7"/>
    <w:rPr>
      <w:w w:val="100"/>
      <w:position w:val="-1"/>
      <w:effect w:val="none"/>
      <w:vertAlign w:val="baseline"/>
      <w:cs w:val="0"/>
      <w:em w:val="none"/>
    </w:rPr>
  </w:style>
  <w:style w:type="character" w:styleId="WW8Num26z8" w:customStyle="1">
    <w:name w:val="WW8Num26z8"/>
    <w:rPr>
      <w:w w:val="100"/>
      <w:position w:val="-1"/>
      <w:effect w:val="none"/>
      <w:vertAlign w:val="baseline"/>
      <w:cs w:val="0"/>
      <w:em w:val="none"/>
    </w:rPr>
  </w:style>
  <w:style w:type="character" w:styleId="WW8Num27z0" w:customStyle="1">
    <w:name w:val="WW8Num27z0"/>
    <w:rPr>
      <w:w w:val="100"/>
      <w:position w:val="-1"/>
      <w:effect w:val="none"/>
      <w:vertAlign w:val="baseline"/>
      <w:cs w:val="0"/>
      <w:em w:val="none"/>
    </w:rPr>
  </w:style>
  <w:style w:type="character" w:styleId="WW8Num27z1" w:customStyle="1">
    <w:name w:val="WW8Num27z1"/>
    <w:rPr>
      <w:w w:val="100"/>
      <w:position w:val="-1"/>
      <w:effect w:val="none"/>
      <w:vertAlign w:val="baseline"/>
      <w:cs w:val="0"/>
      <w:em w:val="none"/>
    </w:rPr>
  </w:style>
  <w:style w:type="character" w:styleId="WW8Num27z2" w:customStyle="1">
    <w:name w:val="WW8Num27z2"/>
    <w:rPr>
      <w:w w:val="100"/>
      <w:position w:val="-1"/>
      <w:effect w:val="none"/>
      <w:vertAlign w:val="baseline"/>
      <w:cs w:val="0"/>
      <w:em w:val="none"/>
    </w:rPr>
  </w:style>
  <w:style w:type="character" w:styleId="WW8Num27z3" w:customStyle="1">
    <w:name w:val="WW8Num27z3"/>
    <w:rPr>
      <w:rFonts w:ascii="Tahoma" w:cs="Tahoma" w:eastAsia="Times New Roman" w:hAnsi="Tahoma"/>
      <w:b w:val="0"/>
      <w:bCs w:val="0"/>
      <w:w w:val="100"/>
      <w:position w:val="-1"/>
      <w:sz w:val="24"/>
      <w:szCs w:val="24"/>
      <w:effect w:val="none"/>
      <w:vertAlign w:val="baseline"/>
      <w:cs w:val="0"/>
      <w:em w:val="none"/>
      <w:lang w:bidi="ar-SA" w:eastAsia="ar-SA" w:val="pl-PL"/>
    </w:rPr>
  </w:style>
  <w:style w:type="character" w:styleId="WW8Num27z4" w:customStyle="1">
    <w:name w:val="WW8Num27z4"/>
    <w:rPr>
      <w:w w:val="100"/>
      <w:position w:val="-1"/>
      <w:effect w:val="none"/>
      <w:vertAlign w:val="baseline"/>
      <w:cs w:val="0"/>
      <w:em w:val="none"/>
    </w:rPr>
  </w:style>
  <w:style w:type="character" w:styleId="WW8Num27z5" w:customStyle="1">
    <w:name w:val="WW8Num27z5"/>
    <w:rPr>
      <w:w w:val="100"/>
      <w:position w:val="-1"/>
      <w:effect w:val="none"/>
      <w:vertAlign w:val="baseline"/>
      <w:cs w:val="0"/>
      <w:em w:val="none"/>
    </w:rPr>
  </w:style>
  <w:style w:type="character" w:styleId="WW8Num27z6" w:customStyle="1">
    <w:name w:val="WW8Num27z6"/>
    <w:rPr>
      <w:w w:val="100"/>
      <w:position w:val="-1"/>
      <w:effect w:val="none"/>
      <w:vertAlign w:val="baseline"/>
      <w:cs w:val="0"/>
      <w:em w:val="none"/>
    </w:rPr>
  </w:style>
  <w:style w:type="character" w:styleId="WW8Num27z7" w:customStyle="1">
    <w:name w:val="WW8Num27z7"/>
    <w:rPr>
      <w:w w:val="100"/>
      <w:position w:val="-1"/>
      <w:effect w:val="none"/>
      <w:vertAlign w:val="baseline"/>
      <w:cs w:val="0"/>
      <w:em w:val="none"/>
    </w:rPr>
  </w:style>
  <w:style w:type="character" w:styleId="WW8Num27z8" w:customStyle="1">
    <w:name w:val="WW8Num27z8"/>
    <w:rPr>
      <w:w w:val="100"/>
      <w:position w:val="-1"/>
      <w:effect w:val="none"/>
      <w:vertAlign w:val="baseline"/>
      <w:cs w:val="0"/>
      <w:em w:val="none"/>
    </w:rPr>
  </w:style>
  <w:style w:type="character" w:styleId="WW8Num28z0" w:customStyle="1">
    <w:name w:val="WW8Num28z0"/>
    <w:rPr>
      <w:w w:val="100"/>
      <w:position w:val="-1"/>
      <w:effect w:val="none"/>
      <w:vertAlign w:val="baseline"/>
      <w:cs w:val="0"/>
      <w:em w:val="none"/>
    </w:rPr>
  </w:style>
  <w:style w:type="character" w:styleId="WW8Num28z1" w:customStyle="1">
    <w:name w:val="WW8Num28z1"/>
    <w:rPr>
      <w:rFonts w:ascii="Courier New" w:cs="Courier New" w:hAnsi="Courier New" w:hint="default"/>
      <w:w w:val="100"/>
      <w:position w:val="-1"/>
      <w:sz w:val="20"/>
      <w:effect w:val="none"/>
      <w:vertAlign w:val="baseline"/>
      <w:cs w:val="0"/>
      <w:em w:val="none"/>
    </w:rPr>
  </w:style>
  <w:style w:type="character" w:styleId="WW8Num28z2" w:customStyle="1">
    <w:name w:val="WW8Num28z2"/>
    <w:rPr>
      <w:rFonts w:ascii="Wingdings" w:cs="Wingdings" w:hAnsi="Wingdings" w:hint="default"/>
      <w:w w:val="100"/>
      <w:position w:val="-1"/>
      <w:sz w:val="20"/>
      <w:effect w:val="none"/>
      <w:vertAlign w:val="baseline"/>
      <w:cs w:val="0"/>
      <w:em w:val="none"/>
    </w:rPr>
  </w:style>
  <w:style w:type="character" w:styleId="WW8Num28z3" w:customStyle="1">
    <w:name w:val="WW8Num28z3"/>
    <w:rPr>
      <w:w w:val="100"/>
      <w:position w:val="-1"/>
      <w:effect w:val="none"/>
      <w:vertAlign w:val="baseline"/>
      <w:cs w:val="0"/>
      <w:em w:val="none"/>
    </w:rPr>
  </w:style>
  <w:style w:type="character" w:styleId="WW8Num28z4" w:customStyle="1">
    <w:name w:val="WW8Num28z4"/>
    <w:rPr>
      <w:w w:val="100"/>
      <w:position w:val="-1"/>
      <w:effect w:val="none"/>
      <w:vertAlign w:val="baseline"/>
      <w:cs w:val="0"/>
      <w:em w:val="none"/>
    </w:rPr>
  </w:style>
  <w:style w:type="character" w:styleId="WW8Num28z5" w:customStyle="1">
    <w:name w:val="WW8Num28z5"/>
    <w:rPr>
      <w:w w:val="100"/>
      <w:position w:val="-1"/>
      <w:effect w:val="none"/>
      <w:vertAlign w:val="baseline"/>
      <w:cs w:val="0"/>
      <w:em w:val="none"/>
    </w:rPr>
  </w:style>
  <w:style w:type="character" w:styleId="WW8Num28z6" w:customStyle="1">
    <w:name w:val="WW8Num28z6"/>
    <w:rPr>
      <w:w w:val="100"/>
      <w:position w:val="-1"/>
      <w:effect w:val="none"/>
      <w:vertAlign w:val="baseline"/>
      <w:cs w:val="0"/>
      <w:em w:val="none"/>
    </w:rPr>
  </w:style>
  <w:style w:type="character" w:styleId="WW8Num28z7" w:customStyle="1">
    <w:name w:val="WW8Num28z7"/>
    <w:rPr>
      <w:w w:val="100"/>
      <w:position w:val="-1"/>
      <w:effect w:val="none"/>
      <w:vertAlign w:val="baseline"/>
      <w:cs w:val="0"/>
      <w:em w:val="none"/>
    </w:rPr>
  </w:style>
  <w:style w:type="character" w:styleId="WW8Num28z8" w:customStyle="1">
    <w:name w:val="WW8Num28z8"/>
    <w:rPr>
      <w:w w:val="100"/>
      <w:position w:val="-1"/>
      <w:effect w:val="none"/>
      <w:vertAlign w:val="baseline"/>
      <w:cs w:val="0"/>
      <w:em w:val="none"/>
    </w:rPr>
  </w:style>
  <w:style w:type="character" w:styleId="WW8Num29z0" w:customStyle="1">
    <w:name w:val="WW8Num29z0"/>
    <w:rPr>
      <w:w w:val="100"/>
      <w:position w:val="-1"/>
      <w:effect w:val="none"/>
      <w:vertAlign w:val="baseline"/>
      <w:cs w:val="0"/>
      <w:em w:val="none"/>
    </w:rPr>
  </w:style>
  <w:style w:type="character" w:styleId="WW8Num30z0" w:customStyle="1">
    <w:name w:val="WW8Num30z0"/>
    <w:rPr>
      <w:rFonts w:ascii="Tahoma" w:cs="Tahoma" w:hAnsi="Tahoma" w:hint="default"/>
      <w:w w:val="100"/>
      <w:position w:val="-1"/>
      <w:sz w:val="24"/>
      <w:effect w:val="none"/>
      <w:vertAlign w:val="baseline"/>
      <w:cs w:val="0"/>
      <w:em w:val="none"/>
    </w:rPr>
  </w:style>
  <w:style w:type="character" w:styleId="WW8Num30z1" w:customStyle="1">
    <w:name w:val="WW8Num30z1"/>
    <w:rPr>
      <w:rFonts w:ascii="Symbol" w:cs="Symbol" w:hAnsi="Symbol" w:hint="default"/>
      <w:w w:val="100"/>
      <w:position w:val="-1"/>
      <w:effect w:val="none"/>
      <w:vertAlign w:val="baseline"/>
      <w:cs w:val="0"/>
      <w:em w:val="none"/>
    </w:rPr>
  </w:style>
  <w:style w:type="character" w:styleId="WW8Num30z2" w:customStyle="1">
    <w:name w:val="WW8Num30z2"/>
    <w:rPr>
      <w:w w:val="100"/>
      <w:position w:val="-1"/>
      <w:effect w:val="none"/>
      <w:vertAlign w:val="baseline"/>
      <w:cs w:val="0"/>
      <w:em w:val="none"/>
    </w:rPr>
  </w:style>
  <w:style w:type="character" w:styleId="WW8Num30z3" w:customStyle="1">
    <w:name w:val="WW8Num30z3"/>
    <w:rPr>
      <w:w w:val="100"/>
      <w:position w:val="-1"/>
      <w:effect w:val="none"/>
      <w:vertAlign w:val="baseline"/>
      <w:cs w:val="0"/>
      <w:em w:val="none"/>
    </w:rPr>
  </w:style>
  <w:style w:type="character" w:styleId="WW8Num30z4" w:customStyle="1">
    <w:name w:val="WW8Num30z4"/>
    <w:rPr>
      <w:w w:val="100"/>
      <w:position w:val="-1"/>
      <w:effect w:val="none"/>
      <w:vertAlign w:val="baseline"/>
      <w:cs w:val="0"/>
      <w:em w:val="none"/>
    </w:rPr>
  </w:style>
  <w:style w:type="character" w:styleId="WW8Num30z5" w:customStyle="1">
    <w:name w:val="WW8Num30z5"/>
    <w:rPr>
      <w:w w:val="100"/>
      <w:position w:val="-1"/>
      <w:effect w:val="none"/>
      <w:vertAlign w:val="baseline"/>
      <w:cs w:val="0"/>
      <w:em w:val="none"/>
    </w:rPr>
  </w:style>
  <w:style w:type="character" w:styleId="WW8Num30z6" w:customStyle="1">
    <w:name w:val="WW8Num30z6"/>
    <w:rPr>
      <w:w w:val="100"/>
      <w:position w:val="-1"/>
      <w:effect w:val="none"/>
      <w:vertAlign w:val="baseline"/>
      <w:cs w:val="0"/>
      <w:em w:val="none"/>
    </w:rPr>
  </w:style>
  <w:style w:type="character" w:styleId="WW8Num30z7" w:customStyle="1">
    <w:name w:val="WW8Num30z7"/>
    <w:rPr>
      <w:w w:val="100"/>
      <w:position w:val="-1"/>
      <w:effect w:val="none"/>
      <w:vertAlign w:val="baseline"/>
      <w:cs w:val="0"/>
      <w:em w:val="none"/>
    </w:rPr>
  </w:style>
  <w:style w:type="character" w:styleId="WW8Num30z8" w:customStyle="1">
    <w:name w:val="WW8Num30z8"/>
    <w:rPr>
      <w:w w:val="100"/>
      <w:position w:val="-1"/>
      <w:effect w:val="none"/>
      <w:vertAlign w:val="baseline"/>
      <w:cs w:val="0"/>
      <w:em w:val="none"/>
    </w:rPr>
  </w:style>
  <w:style w:type="character" w:styleId="WW8Num31z0" w:customStyle="1">
    <w:name w:val="WW8Num31z0"/>
    <w:rPr>
      <w:rFonts w:ascii="Tahoma" w:cs="Tahoma" w:hAnsi="Tahoma" w:hint="default"/>
      <w:w w:val="100"/>
      <w:position w:val="-1"/>
      <w:sz w:val="24"/>
      <w:szCs w:val="24"/>
      <w:effect w:val="none"/>
      <w:vertAlign w:val="baseline"/>
      <w:cs w:val="0"/>
      <w:em w:val="none"/>
    </w:rPr>
  </w:style>
  <w:style w:type="character" w:styleId="WW8Num31z1" w:customStyle="1">
    <w:name w:val="WW8Num31z1"/>
    <w:rPr>
      <w:w w:val="100"/>
      <w:position w:val="-1"/>
      <w:effect w:val="none"/>
      <w:vertAlign w:val="baseline"/>
      <w:cs w:val="0"/>
      <w:em w:val="none"/>
    </w:rPr>
  </w:style>
  <w:style w:type="character" w:styleId="WW8Num31z2" w:customStyle="1">
    <w:name w:val="WW8Num31z2"/>
    <w:rPr>
      <w:w w:val="100"/>
      <w:position w:val="-1"/>
      <w:effect w:val="none"/>
      <w:vertAlign w:val="baseline"/>
      <w:cs w:val="0"/>
      <w:em w:val="none"/>
    </w:rPr>
  </w:style>
  <w:style w:type="character" w:styleId="WW8Num31z3" w:customStyle="1">
    <w:name w:val="WW8Num31z3"/>
    <w:rPr>
      <w:w w:val="100"/>
      <w:position w:val="-1"/>
      <w:effect w:val="none"/>
      <w:vertAlign w:val="baseline"/>
      <w:cs w:val="0"/>
      <w:em w:val="none"/>
    </w:rPr>
  </w:style>
  <w:style w:type="character" w:styleId="WW8Num31z4" w:customStyle="1">
    <w:name w:val="WW8Num31z4"/>
    <w:rPr>
      <w:w w:val="100"/>
      <w:position w:val="-1"/>
      <w:effect w:val="none"/>
      <w:vertAlign w:val="baseline"/>
      <w:cs w:val="0"/>
      <w:em w:val="none"/>
    </w:rPr>
  </w:style>
  <w:style w:type="character" w:styleId="WW8Num31z5" w:customStyle="1">
    <w:name w:val="WW8Num31z5"/>
    <w:rPr>
      <w:w w:val="100"/>
      <w:position w:val="-1"/>
      <w:effect w:val="none"/>
      <w:vertAlign w:val="baseline"/>
      <w:cs w:val="0"/>
      <w:em w:val="none"/>
    </w:rPr>
  </w:style>
  <w:style w:type="character" w:styleId="WW8Num31z6" w:customStyle="1">
    <w:name w:val="WW8Num31z6"/>
    <w:rPr>
      <w:w w:val="100"/>
      <w:position w:val="-1"/>
      <w:effect w:val="none"/>
      <w:vertAlign w:val="baseline"/>
      <w:cs w:val="0"/>
      <w:em w:val="none"/>
    </w:rPr>
  </w:style>
  <w:style w:type="character" w:styleId="WW8Num31z7" w:customStyle="1">
    <w:name w:val="WW8Num31z7"/>
    <w:rPr>
      <w:w w:val="100"/>
      <w:position w:val="-1"/>
      <w:effect w:val="none"/>
      <w:vertAlign w:val="baseline"/>
      <w:cs w:val="0"/>
      <w:em w:val="none"/>
    </w:rPr>
  </w:style>
  <w:style w:type="character" w:styleId="WW8Num31z8" w:customStyle="1">
    <w:name w:val="WW8Num31z8"/>
    <w:rPr>
      <w:w w:val="100"/>
      <w:position w:val="-1"/>
      <w:effect w:val="none"/>
      <w:vertAlign w:val="baseline"/>
      <w:cs w:val="0"/>
      <w:em w:val="none"/>
    </w:rPr>
  </w:style>
  <w:style w:type="character" w:styleId="WW8Num32z0" w:customStyle="1">
    <w:name w:val="WW8Num32z0"/>
    <w:rPr>
      <w:rFonts w:ascii="Symbol" w:cs="Symbol" w:hAnsi="Symbol" w:hint="default"/>
      <w:w w:val="100"/>
      <w:position w:val="-1"/>
      <w:sz w:val="20"/>
      <w:effect w:val="none"/>
      <w:vertAlign w:val="baseline"/>
      <w:cs w:val="0"/>
      <w:em w:val="none"/>
    </w:rPr>
  </w:style>
  <w:style w:type="character" w:styleId="WW8Num33z0" w:customStyle="1">
    <w:name w:val="WW8Num33z0"/>
    <w:rPr>
      <w:w w:val="100"/>
      <w:position w:val="-1"/>
      <w:effect w:val="none"/>
      <w:vertAlign w:val="baseline"/>
      <w:cs w:val="0"/>
      <w:em w:val="none"/>
    </w:rPr>
  </w:style>
  <w:style w:type="character" w:styleId="WW8Num34z0" w:customStyle="1">
    <w:name w:val="WW8Num34z0"/>
    <w:rPr>
      <w:rFonts w:ascii="Tahoma" w:cs="Tahoma" w:hAnsi="Tahoma"/>
      <w:w w:val="100"/>
      <w:position w:val="-1"/>
      <w:sz w:val="24"/>
      <w:effect w:val="none"/>
      <w:vertAlign w:val="baseline"/>
      <w:cs w:val="0"/>
      <w:em w:val="none"/>
    </w:rPr>
  </w:style>
  <w:style w:type="character" w:styleId="WW8Num34z1" w:customStyle="1">
    <w:name w:val="WW8Num34z1"/>
    <w:rPr>
      <w:w w:val="100"/>
      <w:position w:val="-1"/>
      <w:effect w:val="none"/>
      <w:vertAlign w:val="baseline"/>
      <w:cs w:val="0"/>
      <w:em w:val="none"/>
    </w:rPr>
  </w:style>
  <w:style w:type="character" w:styleId="WW8Num34z2" w:customStyle="1">
    <w:name w:val="WW8Num34z2"/>
    <w:rPr>
      <w:w w:val="100"/>
      <w:position w:val="-1"/>
      <w:effect w:val="none"/>
      <w:vertAlign w:val="baseline"/>
      <w:cs w:val="0"/>
      <w:em w:val="none"/>
    </w:rPr>
  </w:style>
  <w:style w:type="character" w:styleId="WW8Num34z3" w:customStyle="1">
    <w:name w:val="WW8Num34z3"/>
    <w:rPr>
      <w:w w:val="100"/>
      <w:position w:val="-1"/>
      <w:effect w:val="none"/>
      <w:vertAlign w:val="baseline"/>
      <w:cs w:val="0"/>
      <w:em w:val="none"/>
    </w:rPr>
  </w:style>
  <w:style w:type="character" w:styleId="WW8Num34z4" w:customStyle="1">
    <w:name w:val="WW8Num34z4"/>
    <w:rPr>
      <w:w w:val="100"/>
      <w:position w:val="-1"/>
      <w:effect w:val="none"/>
      <w:vertAlign w:val="baseline"/>
      <w:cs w:val="0"/>
      <w:em w:val="none"/>
    </w:rPr>
  </w:style>
  <w:style w:type="character" w:styleId="WW8Num34z5" w:customStyle="1">
    <w:name w:val="WW8Num34z5"/>
    <w:rPr>
      <w:w w:val="100"/>
      <w:position w:val="-1"/>
      <w:effect w:val="none"/>
      <w:vertAlign w:val="baseline"/>
      <w:cs w:val="0"/>
      <w:em w:val="none"/>
    </w:rPr>
  </w:style>
  <w:style w:type="character" w:styleId="WW8Num34z6" w:customStyle="1">
    <w:name w:val="WW8Num34z6"/>
    <w:rPr>
      <w:w w:val="100"/>
      <w:position w:val="-1"/>
      <w:effect w:val="none"/>
      <w:vertAlign w:val="baseline"/>
      <w:cs w:val="0"/>
      <w:em w:val="none"/>
    </w:rPr>
  </w:style>
  <w:style w:type="character" w:styleId="WW8Num34z7" w:customStyle="1">
    <w:name w:val="WW8Num34z7"/>
    <w:rPr>
      <w:w w:val="100"/>
      <w:position w:val="-1"/>
      <w:effect w:val="none"/>
      <w:vertAlign w:val="baseline"/>
      <w:cs w:val="0"/>
      <w:em w:val="none"/>
    </w:rPr>
  </w:style>
  <w:style w:type="character" w:styleId="WW8Num34z8" w:customStyle="1">
    <w:name w:val="WW8Num34z8"/>
    <w:rPr>
      <w:w w:val="100"/>
      <w:position w:val="-1"/>
      <w:effect w:val="none"/>
      <w:vertAlign w:val="baseline"/>
      <w:cs w:val="0"/>
      <w:em w:val="none"/>
    </w:rPr>
  </w:style>
  <w:style w:type="character" w:styleId="WW8Num35z0" w:customStyle="1">
    <w:name w:val="WW8Num35z0"/>
    <w:rPr>
      <w:rFonts w:ascii="Symbol" w:cs="Symbol" w:hAnsi="Symbol" w:hint="default"/>
      <w:w w:val="100"/>
      <w:position w:val="-1"/>
      <w:effect w:val="none"/>
      <w:vertAlign w:val="baseline"/>
      <w:cs w:val="0"/>
      <w:em w:val="none"/>
    </w:rPr>
  </w:style>
  <w:style w:type="character" w:styleId="WW8Num35z1" w:customStyle="1">
    <w:name w:val="WW8Num35z1"/>
    <w:rPr>
      <w:rFonts w:ascii="Tahoma" w:cs="Tahoma" w:hAnsi="Tahoma" w:hint="default"/>
      <w:w w:val="100"/>
      <w:position w:val="-1"/>
      <w:effect w:val="none"/>
      <w:vertAlign w:val="baseline"/>
      <w:cs w:val="0"/>
      <w:em w:val="none"/>
    </w:rPr>
  </w:style>
  <w:style w:type="character" w:styleId="WW8Num35z2" w:customStyle="1">
    <w:name w:val="WW8Num35z2"/>
    <w:rPr>
      <w:rFonts w:ascii="Wingdings" w:cs="Wingdings" w:hAnsi="Wingdings" w:hint="default"/>
      <w:w w:val="100"/>
      <w:position w:val="-1"/>
      <w:effect w:val="none"/>
      <w:vertAlign w:val="baseline"/>
      <w:cs w:val="0"/>
      <w:em w:val="none"/>
    </w:rPr>
  </w:style>
  <w:style w:type="character" w:styleId="WW8Num35z3" w:customStyle="1">
    <w:name w:val="WW8Num35z3"/>
    <w:rPr>
      <w:w w:val="100"/>
      <w:position w:val="-1"/>
      <w:effect w:val="none"/>
      <w:vertAlign w:val="baseline"/>
      <w:cs w:val="0"/>
      <w:em w:val="none"/>
    </w:rPr>
  </w:style>
  <w:style w:type="character" w:styleId="WW8Num35z4" w:customStyle="1">
    <w:name w:val="WW8Num35z4"/>
    <w:rPr>
      <w:rFonts w:ascii="Courier New" w:cs="Courier New" w:hAnsi="Courier New" w:hint="default"/>
      <w:w w:val="100"/>
      <w:position w:val="-1"/>
      <w:effect w:val="none"/>
      <w:vertAlign w:val="baseline"/>
      <w:cs w:val="0"/>
      <w:em w:val="none"/>
    </w:rPr>
  </w:style>
  <w:style w:type="character" w:styleId="WW8Num35z5" w:customStyle="1">
    <w:name w:val="WW8Num35z5"/>
    <w:rPr>
      <w:w w:val="100"/>
      <w:position w:val="-1"/>
      <w:effect w:val="none"/>
      <w:vertAlign w:val="baseline"/>
      <w:cs w:val="0"/>
      <w:em w:val="none"/>
    </w:rPr>
  </w:style>
  <w:style w:type="character" w:styleId="WW8Num35z6" w:customStyle="1">
    <w:name w:val="WW8Num35z6"/>
    <w:rPr>
      <w:w w:val="100"/>
      <w:position w:val="-1"/>
      <w:effect w:val="none"/>
      <w:vertAlign w:val="baseline"/>
      <w:cs w:val="0"/>
      <w:em w:val="none"/>
    </w:rPr>
  </w:style>
  <w:style w:type="character" w:styleId="WW8Num35z7" w:customStyle="1">
    <w:name w:val="WW8Num35z7"/>
    <w:rPr>
      <w:w w:val="100"/>
      <w:position w:val="-1"/>
      <w:effect w:val="none"/>
      <w:vertAlign w:val="baseline"/>
      <w:cs w:val="0"/>
      <w:em w:val="none"/>
    </w:rPr>
  </w:style>
  <w:style w:type="character" w:styleId="WW8Num35z8" w:customStyle="1">
    <w:name w:val="WW8Num35z8"/>
    <w:rPr>
      <w:w w:val="100"/>
      <w:position w:val="-1"/>
      <w:effect w:val="none"/>
      <w:vertAlign w:val="baseline"/>
      <w:cs w:val="0"/>
      <w:em w:val="none"/>
    </w:rPr>
  </w:style>
  <w:style w:type="character" w:styleId="WW8Num36z0" w:customStyle="1">
    <w:name w:val="WW8Num36z0"/>
    <w:rPr>
      <w:w w:val="100"/>
      <w:position w:val="-1"/>
      <w:effect w:val="none"/>
      <w:vertAlign w:val="baseline"/>
      <w:cs w:val="0"/>
      <w:em w:val="none"/>
    </w:rPr>
  </w:style>
  <w:style w:type="character" w:styleId="WW8Num37z0" w:customStyle="1">
    <w:name w:val="WW8Num37z0"/>
    <w:rPr>
      <w:w w:val="100"/>
      <w:position w:val="-1"/>
      <w:effect w:val="none"/>
      <w:vertAlign w:val="baseline"/>
      <w:cs w:val="0"/>
      <w:em w:val="none"/>
    </w:rPr>
  </w:style>
  <w:style w:type="character" w:styleId="WW8Num37z1" w:customStyle="1">
    <w:name w:val="WW8Num37z1"/>
    <w:rPr>
      <w:rFonts w:ascii="Courier New" w:cs="Courier New" w:hAnsi="Courier New" w:hint="default"/>
      <w:w w:val="100"/>
      <w:position w:val="-1"/>
      <w:effect w:val="none"/>
      <w:vertAlign w:val="baseline"/>
      <w:cs w:val="0"/>
      <w:em w:val="none"/>
    </w:rPr>
  </w:style>
  <w:style w:type="character" w:styleId="WW8Num37z2" w:customStyle="1">
    <w:name w:val="WW8Num37z2"/>
    <w:rPr>
      <w:rFonts w:ascii="Wingdings" w:cs="Wingdings" w:hAnsi="Wingdings" w:hint="default"/>
      <w:w w:val="100"/>
      <w:position w:val="-1"/>
      <w:effect w:val="none"/>
      <w:vertAlign w:val="baseline"/>
      <w:cs w:val="0"/>
      <w:em w:val="none"/>
    </w:rPr>
  </w:style>
  <w:style w:type="character" w:styleId="WW8Num38z0" w:customStyle="1">
    <w:name w:val="WW8Num38z0"/>
    <w:rPr>
      <w:w w:val="100"/>
      <w:position w:val="-1"/>
      <w:effect w:val="none"/>
      <w:vertAlign w:val="baseline"/>
      <w:cs w:val="0"/>
      <w:em w:val="none"/>
    </w:rPr>
  </w:style>
  <w:style w:type="character" w:styleId="WW8Num38z1" w:customStyle="1">
    <w:name w:val="WW8Num38z1"/>
    <w:rPr>
      <w:w w:val="100"/>
      <w:position w:val="-1"/>
      <w:effect w:val="none"/>
      <w:vertAlign w:val="baseline"/>
      <w:cs w:val="0"/>
      <w:em w:val="none"/>
    </w:rPr>
  </w:style>
  <w:style w:type="character" w:styleId="WW8Num38z2" w:customStyle="1">
    <w:name w:val="WW8Num38z2"/>
    <w:rPr>
      <w:w w:val="100"/>
      <w:position w:val="-1"/>
      <w:effect w:val="none"/>
      <w:vertAlign w:val="baseline"/>
      <w:cs w:val="0"/>
      <w:em w:val="none"/>
    </w:rPr>
  </w:style>
  <w:style w:type="character" w:styleId="WW8Num38z3" w:customStyle="1">
    <w:name w:val="WW8Num38z3"/>
    <w:rPr>
      <w:w w:val="100"/>
      <w:position w:val="-1"/>
      <w:effect w:val="none"/>
      <w:vertAlign w:val="baseline"/>
      <w:cs w:val="0"/>
      <w:em w:val="none"/>
    </w:rPr>
  </w:style>
  <w:style w:type="character" w:styleId="WW8Num38z4" w:customStyle="1">
    <w:name w:val="WW8Num38z4"/>
    <w:rPr>
      <w:w w:val="100"/>
      <w:position w:val="-1"/>
      <w:effect w:val="none"/>
      <w:vertAlign w:val="baseline"/>
      <w:cs w:val="0"/>
      <w:em w:val="none"/>
    </w:rPr>
  </w:style>
  <w:style w:type="character" w:styleId="WW8Num38z5" w:customStyle="1">
    <w:name w:val="WW8Num38z5"/>
    <w:rPr>
      <w:w w:val="100"/>
      <w:position w:val="-1"/>
      <w:effect w:val="none"/>
      <w:vertAlign w:val="baseline"/>
      <w:cs w:val="0"/>
      <w:em w:val="none"/>
    </w:rPr>
  </w:style>
  <w:style w:type="character" w:styleId="WW8Num38z6" w:customStyle="1">
    <w:name w:val="WW8Num38z6"/>
    <w:rPr>
      <w:w w:val="100"/>
      <w:position w:val="-1"/>
      <w:effect w:val="none"/>
      <w:vertAlign w:val="baseline"/>
      <w:cs w:val="0"/>
      <w:em w:val="none"/>
    </w:rPr>
  </w:style>
  <w:style w:type="character" w:styleId="WW8Num38z7" w:customStyle="1">
    <w:name w:val="WW8Num38z7"/>
    <w:rPr>
      <w:w w:val="100"/>
      <w:position w:val="-1"/>
      <w:effect w:val="none"/>
      <w:vertAlign w:val="baseline"/>
      <w:cs w:val="0"/>
      <w:em w:val="none"/>
    </w:rPr>
  </w:style>
  <w:style w:type="character" w:styleId="WW8Num38z8" w:customStyle="1">
    <w:name w:val="WW8Num38z8"/>
    <w:rPr>
      <w:w w:val="100"/>
      <w:position w:val="-1"/>
      <w:effect w:val="none"/>
      <w:vertAlign w:val="baseline"/>
      <w:cs w:val="0"/>
      <w:em w:val="none"/>
    </w:rPr>
  </w:style>
  <w:style w:type="character" w:styleId="WW8Num39z0" w:customStyle="1">
    <w:name w:val="WW8Num39z0"/>
    <w:rPr>
      <w:rFonts w:ascii="Symbol" w:cs="Symbol" w:hAnsi="Symbol" w:hint="default"/>
      <w:w w:val="100"/>
      <w:position w:val="-1"/>
      <w:effect w:val="none"/>
      <w:vertAlign w:val="baseline"/>
      <w:cs w:val="0"/>
      <w:em w:val="none"/>
    </w:rPr>
  </w:style>
  <w:style w:type="character" w:styleId="WW8Num39z1" w:customStyle="1">
    <w:name w:val="WW8Num39z1"/>
    <w:rPr>
      <w:rFonts w:ascii="Courier New" w:cs="Courier New" w:hAnsi="Courier New" w:hint="default"/>
      <w:w w:val="100"/>
      <w:position w:val="-1"/>
      <w:effect w:val="none"/>
      <w:vertAlign w:val="baseline"/>
      <w:cs w:val="0"/>
      <w:em w:val="none"/>
    </w:rPr>
  </w:style>
  <w:style w:type="character" w:styleId="WW8Num39z2" w:customStyle="1">
    <w:name w:val="WW8Num39z2"/>
    <w:rPr>
      <w:rFonts w:ascii="Wingdings" w:cs="Wingdings" w:hAnsi="Wingdings" w:hint="default"/>
      <w:w w:val="100"/>
      <w:position w:val="-1"/>
      <w:effect w:val="none"/>
      <w:vertAlign w:val="baseline"/>
      <w:cs w:val="0"/>
      <w:em w:val="none"/>
    </w:rPr>
  </w:style>
  <w:style w:type="character" w:styleId="WW8Num40z0" w:customStyle="1">
    <w:name w:val="WW8Num40z0"/>
    <w:rPr>
      <w:rFonts w:ascii="Tahoma" w:cs="Tahoma" w:hAnsi="Tahoma"/>
      <w:color w:val="000000"/>
      <w:w w:val="100"/>
      <w:position w:val="-1"/>
      <w:szCs w:val="24"/>
      <w:effect w:val="none"/>
      <w:vertAlign w:val="baseline"/>
      <w:cs w:val="0"/>
      <w:em w:val="none"/>
    </w:rPr>
  </w:style>
  <w:style w:type="character" w:styleId="WW8Num40z1" w:customStyle="1">
    <w:name w:val="WW8Num40z1"/>
    <w:rPr>
      <w:w w:val="100"/>
      <w:position w:val="-1"/>
      <w:effect w:val="none"/>
      <w:vertAlign w:val="baseline"/>
      <w:cs w:val="0"/>
      <w:em w:val="none"/>
    </w:rPr>
  </w:style>
  <w:style w:type="character" w:styleId="WW8Num40z2" w:customStyle="1">
    <w:name w:val="WW8Num40z2"/>
    <w:rPr>
      <w:w w:val="100"/>
      <w:position w:val="-1"/>
      <w:effect w:val="none"/>
      <w:vertAlign w:val="baseline"/>
      <w:cs w:val="0"/>
      <w:em w:val="none"/>
    </w:rPr>
  </w:style>
  <w:style w:type="character" w:styleId="WW8Num40z3" w:customStyle="1">
    <w:name w:val="WW8Num40z3"/>
    <w:rPr>
      <w:w w:val="100"/>
      <w:position w:val="-1"/>
      <w:effect w:val="none"/>
      <w:vertAlign w:val="baseline"/>
      <w:cs w:val="0"/>
      <w:em w:val="none"/>
    </w:rPr>
  </w:style>
  <w:style w:type="character" w:styleId="WW8Num40z4" w:customStyle="1">
    <w:name w:val="WW8Num40z4"/>
    <w:rPr>
      <w:w w:val="100"/>
      <w:position w:val="-1"/>
      <w:effect w:val="none"/>
      <w:vertAlign w:val="baseline"/>
      <w:cs w:val="0"/>
      <w:em w:val="none"/>
    </w:rPr>
  </w:style>
  <w:style w:type="character" w:styleId="WW8Num40z5" w:customStyle="1">
    <w:name w:val="WW8Num40z5"/>
    <w:rPr>
      <w:w w:val="100"/>
      <w:position w:val="-1"/>
      <w:effect w:val="none"/>
      <w:vertAlign w:val="baseline"/>
      <w:cs w:val="0"/>
      <w:em w:val="none"/>
    </w:rPr>
  </w:style>
  <w:style w:type="character" w:styleId="WW8Num40z6" w:customStyle="1">
    <w:name w:val="WW8Num40z6"/>
    <w:rPr>
      <w:w w:val="100"/>
      <w:position w:val="-1"/>
      <w:effect w:val="none"/>
      <w:vertAlign w:val="baseline"/>
      <w:cs w:val="0"/>
      <w:em w:val="none"/>
    </w:rPr>
  </w:style>
  <w:style w:type="character" w:styleId="WW8Num40z7" w:customStyle="1">
    <w:name w:val="WW8Num40z7"/>
    <w:rPr>
      <w:w w:val="100"/>
      <w:position w:val="-1"/>
      <w:effect w:val="none"/>
      <w:vertAlign w:val="baseline"/>
      <w:cs w:val="0"/>
      <w:em w:val="none"/>
    </w:rPr>
  </w:style>
  <w:style w:type="character" w:styleId="WW8Num40z8" w:customStyle="1">
    <w:name w:val="WW8Num40z8"/>
    <w:rPr>
      <w:w w:val="100"/>
      <w:position w:val="-1"/>
      <w:effect w:val="none"/>
      <w:vertAlign w:val="baseline"/>
      <w:cs w:val="0"/>
      <w:em w:val="none"/>
    </w:rPr>
  </w:style>
  <w:style w:type="character" w:styleId="Domylnaczcionkaakapitu2" w:customStyle="1">
    <w:name w:val="Domyślna czcionka akapitu2"/>
    <w:rPr>
      <w:w w:val="100"/>
      <w:position w:val="-1"/>
      <w:effect w:val="none"/>
      <w:vertAlign w:val="baseline"/>
      <w:cs w:val="0"/>
      <w:em w:val="none"/>
    </w:rPr>
  </w:style>
  <w:style w:type="character" w:styleId="WW8Num18z5" w:customStyle="1">
    <w:name w:val="WW8Num18z5"/>
    <w:rPr>
      <w:w w:val="100"/>
      <w:position w:val="-1"/>
      <w:effect w:val="none"/>
      <w:vertAlign w:val="baseline"/>
      <w:cs w:val="0"/>
      <w:em w:val="none"/>
    </w:rPr>
  </w:style>
  <w:style w:type="character" w:styleId="WW8Num18z6" w:customStyle="1">
    <w:name w:val="WW8Num18z6"/>
    <w:rPr>
      <w:w w:val="100"/>
      <w:position w:val="-1"/>
      <w:effect w:val="none"/>
      <w:vertAlign w:val="baseline"/>
      <w:cs w:val="0"/>
      <w:em w:val="none"/>
    </w:rPr>
  </w:style>
  <w:style w:type="character" w:styleId="WW8Num18z7" w:customStyle="1">
    <w:name w:val="WW8Num18z7"/>
    <w:rPr>
      <w:w w:val="100"/>
      <w:position w:val="-1"/>
      <w:effect w:val="none"/>
      <w:vertAlign w:val="baseline"/>
      <w:cs w:val="0"/>
      <w:em w:val="none"/>
    </w:rPr>
  </w:style>
  <w:style w:type="character" w:styleId="WW8Num18z8" w:customStyle="1">
    <w:name w:val="WW8Num18z8"/>
    <w:rPr>
      <w:w w:val="100"/>
      <w:position w:val="-1"/>
      <w:effect w:val="none"/>
      <w:vertAlign w:val="baseline"/>
      <w:cs w:val="0"/>
      <w:em w:val="none"/>
    </w:rPr>
  </w:style>
  <w:style w:type="character" w:styleId="WW8Num19z1" w:customStyle="1">
    <w:name w:val="WW8Num19z1"/>
    <w:rPr>
      <w:w w:val="100"/>
      <w:position w:val="-1"/>
      <w:effect w:val="none"/>
      <w:vertAlign w:val="baseline"/>
      <w:cs w:val="0"/>
      <w:em w:val="none"/>
    </w:rPr>
  </w:style>
  <w:style w:type="character" w:styleId="WW8Num19z2" w:customStyle="1">
    <w:name w:val="WW8Num19z2"/>
    <w:rPr>
      <w:w w:val="100"/>
      <w:position w:val="-1"/>
      <w:effect w:val="none"/>
      <w:vertAlign w:val="baseline"/>
      <w:cs w:val="0"/>
      <w:em w:val="none"/>
    </w:rPr>
  </w:style>
  <w:style w:type="character" w:styleId="WW8Num24z1" w:customStyle="1">
    <w:name w:val="WW8Num24z1"/>
    <w:rPr>
      <w:w w:val="100"/>
      <w:position w:val="-1"/>
      <w:effect w:val="none"/>
      <w:vertAlign w:val="baseline"/>
      <w:cs w:val="0"/>
      <w:em w:val="none"/>
    </w:rPr>
  </w:style>
  <w:style w:type="character" w:styleId="WW8Num24z2" w:customStyle="1">
    <w:name w:val="WW8Num24z2"/>
    <w:rPr>
      <w:w w:val="100"/>
      <w:position w:val="-1"/>
      <w:effect w:val="none"/>
      <w:vertAlign w:val="baseline"/>
      <w:cs w:val="0"/>
      <w:em w:val="none"/>
    </w:rPr>
  </w:style>
  <w:style w:type="character" w:styleId="WW8Num24z3" w:customStyle="1">
    <w:name w:val="WW8Num24z3"/>
    <w:rPr>
      <w:w w:val="100"/>
      <w:position w:val="-1"/>
      <w:effect w:val="none"/>
      <w:vertAlign w:val="baseline"/>
      <w:cs w:val="0"/>
      <w:em w:val="none"/>
    </w:rPr>
  </w:style>
  <w:style w:type="character" w:styleId="WW8Num24z4" w:customStyle="1">
    <w:name w:val="WW8Num24z4"/>
    <w:rPr>
      <w:w w:val="100"/>
      <w:position w:val="-1"/>
      <w:effect w:val="none"/>
      <w:vertAlign w:val="baseline"/>
      <w:cs w:val="0"/>
      <w:em w:val="none"/>
    </w:rPr>
  </w:style>
  <w:style w:type="character" w:styleId="WW8Num24z5" w:customStyle="1">
    <w:name w:val="WW8Num24z5"/>
    <w:rPr>
      <w:w w:val="100"/>
      <w:position w:val="-1"/>
      <w:effect w:val="none"/>
      <w:vertAlign w:val="baseline"/>
      <w:cs w:val="0"/>
      <w:em w:val="none"/>
    </w:rPr>
  </w:style>
  <w:style w:type="character" w:styleId="WW8Num24z6" w:customStyle="1">
    <w:name w:val="WW8Num24z6"/>
    <w:rPr>
      <w:w w:val="100"/>
      <w:position w:val="-1"/>
      <w:effect w:val="none"/>
      <w:vertAlign w:val="baseline"/>
      <w:cs w:val="0"/>
      <w:em w:val="none"/>
    </w:rPr>
  </w:style>
  <w:style w:type="character" w:styleId="WW8Num24z7" w:customStyle="1">
    <w:name w:val="WW8Num24z7"/>
    <w:rPr>
      <w:w w:val="100"/>
      <w:position w:val="-1"/>
      <w:effect w:val="none"/>
      <w:vertAlign w:val="baseline"/>
      <w:cs w:val="0"/>
      <w:em w:val="none"/>
    </w:rPr>
  </w:style>
  <w:style w:type="character" w:styleId="WW8Num24z8" w:customStyle="1">
    <w:name w:val="WW8Num24z8"/>
    <w:rPr>
      <w:w w:val="100"/>
      <w:position w:val="-1"/>
      <w:effect w:val="none"/>
      <w:vertAlign w:val="baseline"/>
      <w:cs w:val="0"/>
      <w:em w:val="none"/>
    </w:rPr>
  </w:style>
  <w:style w:type="character" w:styleId="WW8Num32z1" w:customStyle="1">
    <w:name w:val="WW8Num32z1"/>
    <w:rPr>
      <w:rFonts w:ascii="Courier New" w:cs="Courier New" w:hAnsi="Courier New" w:hint="default"/>
      <w:w w:val="100"/>
      <w:position w:val="-1"/>
      <w:sz w:val="20"/>
      <w:effect w:val="none"/>
      <w:vertAlign w:val="baseline"/>
      <w:cs w:val="0"/>
      <w:em w:val="none"/>
    </w:rPr>
  </w:style>
  <w:style w:type="character" w:styleId="WW8Num32z2" w:customStyle="1">
    <w:name w:val="WW8Num32z2"/>
    <w:rPr>
      <w:rFonts w:ascii="Wingdings" w:cs="Wingdings" w:hAnsi="Wingdings" w:hint="default"/>
      <w:w w:val="100"/>
      <w:position w:val="-1"/>
      <w:sz w:val="20"/>
      <w:effect w:val="none"/>
      <w:vertAlign w:val="baseline"/>
      <w:cs w:val="0"/>
      <w:em w:val="none"/>
    </w:rPr>
  </w:style>
  <w:style w:type="character" w:styleId="WW8Num32z3" w:customStyle="1">
    <w:name w:val="WW8Num32z3"/>
    <w:rPr>
      <w:w w:val="100"/>
      <w:position w:val="-1"/>
      <w:effect w:val="none"/>
      <w:vertAlign w:val="baseline"/>
      <w:cs w:val="0"/>
      <w:em w:val="none"/>
    </w:rPr>
  </w:style>
  <w:style w:type="character" w:styleId="WW8Num32z4" w:customStyle="1">
    <w:name w:val="WW8Num32z4"/>
    <w:rPr>
      <w:w w:val="100"/>
      <w:position w:val="-1"/>
      <w:effect w:val="none"/>
      <w:vertAlign w:val="baseline"/>
      <w:cs w:val="0"/>
      <w:em w:val="none"/>
    </w:rPr>
  </w:style>
  <w:style w:type="character" w:styleId="WW8Num32z5" w:customStyle="1">
    <w:name w:val="WW8Num32z5"/>
    <w:rPr>
      <w:w w:val="100"/>
      <w:position w:val="-1"/>
      <w:effect w:val="none"/>
      <w:vertAlign w:val="baseline"/>
      <w:cs w:val="0"/>
      <w:em w:val="none"/>
    </w:rPr>
  </w:style>
  <w:style w:type="character" w:styleId="WW8Num32z6" w:customStyle="1">
    <w:name w:val="WW8Num32z6"/>
    <w:rPr>
      <w:w w:val="100"/>
      <w:position w:val="-1"/>
      <w:effect w:val="none"/>
      <w:vertAlign w:val="baseline"/>
      <w:cs w:val="0"/>
      <w:em w:val="none"/>
    </w:rPr>
  </w:style>
  <w:style w:type="character" w:styleId="WW8Num32z7" w:customStyle="1">
    <w:name w:val="WW8Num32z7"/>
    <w:rPr>
      <w:w w:val="100"/>
      <w:position w:val="-1"/>
      <w:effect w:val="none"/>
      <w:vertAlign w:val="baseline"/>
      <w:cs w:val="0"/>
      <w:em w:val="none"/>
    </w:rPr>
  </w:style>
  <w:style w:type="character" w:styleId="WW8Num32z8" w:customStyle="1">
    <w:name w:val="WW8Num32z8"/>
    <w:rPr>
      <w:w w:val="100"/>
      <w:position w:val="-1"/>
      <w:effect w:val="none"/>
      <w:vertAlign w:val="baseline"/>
      <w:cs w:val="0"/>
      <w:em w:val="none"/>
    </w:rPr>
  </w:style>
  <w:style w:type="character" w:styleId="WW8Num4z2" w:customStyle="1">
    <w:name w:val="WW8Num4z2"/>
    <w:rPr>
      <w:w w:val="100"/>
      <w:position w:val="-1"/>
      <w:effect w:val="none"/>
      <w:vertAlign w:val="baseline"/>
      <w:cs w:val="0"/>
      <w:em w:val="none"/>
    </w:rPr>
  </w:style>
  <w:style w:type="character" w:styleId="WW8Num4z3" w:customStyle="1">
    <w:name w:val="WW8Num4z3"/>
    <w:rPr>
      <w:w w:val="100"/>
      <w:position w:val="-1"/>
      <w:effect w:val="none"/>
      <w:vertAlign w:val="baseline"/>
      <w:cs w:val="0"/>
      <w:em w:val="none"/>
    </w:rPr>
  </w:style>
  <w:style w:type="character" w:styleId="WW8Num4z4" w:customStyle="1">
    <w:name w:val="WW8Num4z4"/>
    <w:rPr>
      <w:w w:val="100"/>
      <w:position w:val="-1"/>
      <w:effect w:val="none"/>
      <w:vertAlign w:val="baseline"/>
      <w:cs w:val="0"/>
      <w:em w:val="none"/>
    </w:rPr>
  </w:style>
  <w:style w:type="character" w:styleId="WW8Num4z5" w:customStyle="1">
    <w:name w:val="WW8Num4z5"/>
    <w:rPr>
      <w:w w:val="100"/>
      <w:position w:val="-1"/>
      <w:effect w:val="none"/>
      <w:vertAlign w:val="baseline"/>
      <w:cs w:val="0"/>
      <w:em w:val="none"/>
    </w:rPr>
  </w:style>
  <w:style w:type="character" w:styleId="WW8Num4z6" w:customStyle="1">
    <w:name w:val="WW8Num4z6"/>
    <w:rPr>
      <w:w w:val="100"/>
      <w:position w:val="-1"/>
      <w:effect w:val="none"/>
      <w:vertAlign w:val="baseline"/>
      <w:cs w:val="0"/>
      <w:em w:val="none"/>
    </w:rPr>
  </w:style>
  <w:style w:type="character" w:styleId="WW8Num4z7" w:customStyle="1">
    <w:name w:val="WW8Num4z7"/>
    <w:rPr>
      <w:w w:val="100"/>
      <w:position w:val="-1"/>
      <w:effect w:val="none"/>
      <w:vertAlign w:val="baseline"/>
      <w:cs w:val="0"/>
      <w:em w:val="none"/>
    </w:rPr>
  </w:style>
  <w:style w:type="character" w:styleId="WW8Num4z8" w:customStyle="1">
    <w:name w:val="WW8Num4z8"/>
    <w:rPr>
      <w:w w:val="100"/>
      <w:position w:val="-1"/>
      <w:effect w:val="none"/>
      <w:vertAlign w:val="baseline"/>
      <w:cs w:val="0"/>
      <w:em w:val="none"/>
    </w:rPr>
  </w:style>
  <w:style w:type="character" w:styleId="WW8Num7z1" w:customStyle="1">
    <w:name w:val="WW8Num7z1"/>
    <w:rPr>
      <w:rFonts w:ascii="Times New Roman" w:cs="Times New Roman" w:eastAsia="Times New Roman" w:hAnsi="Times New Roman" w:hint="default"/>
      <w:w w:val="100"/>
      <w:position w:val="-1"/>
      <w:effect w:val="none"/>
      <w:vertAlign w:val="baseline"/>
      <w:cs w:val="0"/>
      <w:em w:val="none"/>
    </w:rPr>
  </w:style>
  <w:style w:type="character" w:styleId="WW8Num7z2" w:customStyle="1">
    <w:name w:val="WW8Num7z2"/>
    <w:rPr>
      <w:w w:val="100"/>
      <w:position w:val="-1"/>
      <w:effect w:val="none"/>
      <w:vertAlign w:val="baseline"/>
      <w:cs w:val="0"/>
      <w:em w:val="none"/>
    </w:rPr>
  </w:style>
  <w:style w:type="character" w:styleId="WW8Num7z3" w:customStyle="1">
    <w:name w:val="WW8Num7z3"/>
    <w:rPr>
      <w:w w:val="100"/>
      <w:position w:val="-1"/>
      <w:effect w:val="none"/>
      <w:vertAlign w:val="baseline"/>
      <w:cs w:val="0"/>
      <w:em w:val="none"/>
    </w:rPr>
  </w:style>
  <w:style w:type="character" w:styleId="WW8Num7z4" w:customStyle="1">
    <w:name w:val="WW8Num7z4"/>
    <w:rPr>
      <w:w w:val="100"/>
      <w:position w:val="-1"/>
      <w:effect w:val="none"/>
      <w:vertAlign w:val="baseline"/>
      <w:cs w:val="0"/>
      <w:em w:val="none"/>
    </w:rPr>
  </w:style>
  <w:style w:type="character" w:styleId="WW8Num7z5" w:customStyle="1">
    <w:name w:val="WW8Num7z5"/>
    <w:rPr>
      <w:w w:val="100"/>
      <w:position w:val="-1"/>
      <w:effect w:val="none"/>
      <w:vertAlign w:val="baseline"/>
      <w:cs w:val="0"/>
      <w:em w:val="none"/>
    </w:rPr>
  </w:style>
  <w:style w:type="character" w:styleId="WW8Num7z6" w:customStyle="1">
    <w:name w:val="WW8Num7z6"/>
    <w:rPr>
      <w:w w:val="100"/>
      <w:position w:val="-1"/>
      <w:effect w:val="none"/>
      <w:vertAlign w:val="baseline"/>
      <w:cs w:val="0"/>
      <w:em w:val="none"/>
    </w:rPr>
  </w:style>
  <w:style w:type="character" w:styleId="WW8Num7z7" w:customStyle="1">
    <w:name w:val="WW8Num7z7"/>
    <w:rPr>
      <w:w w:val="100"/>
      <w:position w:val="-1"/>
      <w:effect w:val="none"/>
      <w:vertAlign w:val="baseline"/>
      <w:cs w:val="0"/>
      <w:em w:val="none"/>
    </w:rPr>
  </w:style>
  <w:style w:type="character" w:styleId="WW8Num7z8" w:customStyle="1">
    <w:name w:val="WW8Num7z8"/>
    <w:rPr>
      <w:w w:val="100"/>
      <w:position w:val="-1"/>
      <w:effect w:val="none"/>
      <w:vertAlign w:val="baseline"/>
      <w:cs w:val="0"/>
      <w:em w:val="none"/>
    </w:rPr>
  </w:style>
  <w:style w:type="character" w:styleId="WW8Num8z1" w:customStyle="1">
    <w:name w:val="WW8Num8z1"/>
    <w:rPr>
      <w:w w:val="100"/>
      <w:position w:val="-1"/>
      <w:effect w:val="none"/>
      <w:vertAlign w:val="baseline"/>
      <w:cs w:val="0"/>
      <w:em w:val="none"/>
    </w:rPr>
  </w:style>
  <w:style w:type="character" w:styleId="WW8Num8z2" w:customStyle="1">
    <w:name w:val="WW8Num8z2"/>
    <w:rPr>
      <w:w w:val="100"/>
      <w:position w:val="-1"/>
      <w:effect w:val="none"/>
      <w:vertAlign w:val="baseline"/>
      <w:cs w:val="0"/>
      <w:em w:val="none"/>
    </w:rPr>
  </w:style>
  <w:style w:type="character" w:styleId="WW8Num8z3" w:customStyle="1">
    <w:name w:val="WW8Num8z3"/>
    <w:rPr>
      <w:w w:val="100"/>
      <w:position w:val="-1"/>
      <w:effect w:val="none"/>
      <w:vertAlign w:val="baseline"/>
      <w:cs w:val="0"/>
      <w:em w:val="none"/>
    </w:rPr>
  </w:style>
  <w:style w:type="character" w:styleId="WW8Num8z4" w:customStyle="1">
    <w:name w:val="WW8Num8z4"/>
    <w:rPr>
      <w:w w:val="100"/>
      <w:position w:val="-1"/>
      <w:effect w:val="none"/>
      <w:vertAlign w:val="baseline"/>
      <w:cs w:val="0"/>
      <w:em w:val="none"/>
    </w:rPr>
  </w:style>
  <w:style w:type="character" w:styleId="WW8Num8z5" w:customStyle="1">
    <w:name w:val="WW8Num8z5"/>
    <w:rPr>
      <w:w w:val="100"/>
      <w:position w:val="-1"/>
      <w:effect w:val="none"/>
      <w:vertAlign w:val="baseline"/>
      <w:cs w:val="0"/>
      <w:em w:val="none"/>
    </w:rPr>
  </w:style>
  <w:style w:type="character" w:styleId="WW8Num8z6" w:customStyle="1">
    <w:name w:val="WW8Num8z6"/>
    <w:rPr>
      <w:w w:val="100"/>
      <w:position w:val="-1"/>
      <w:effect w:val="none"/>
      <w:vertAlign w:val="baseline"/>
      <w:cs w:val="0"/>
      <w:em w:val="none"/>
    </w:rPr>
  </w:style>
  <w:style w:type="character" w:styleId="WW8Num8z7" w:customStyle="1">
    <w:name w:val="WW8Num8z7"/>
    <w:rPr>
      <w:w w:val="100"/>
      <w:position w:val="-1"/>
      <w:effect w:val="none"/>
      <w:vertAlign w:val="baseline"/>
      <w:cs w:val="0"/>
      <w:em w:val="none"/>
    </w:rPr>
  </w:style>
  <w:style w:type="character" w:styleId="WW8Num8z8" w:customStyle="1">
    <w:name w:val="WW8Num8z8"/>
    <w:rPr>
      <w:w w:val="100"/>
      <w:position w:val="-1"/>
      <w:effect w:val="none"/>
      <w:vertAlign w:val="baseline"/>
      <w:cs w:val="0"/>
      <w:em w:val="none"/>
    </w:rPr>
  </w:style>
  <w:style w:type="character" w:styleId="WW8Num10z1" w:customStyle="1">
    <w:name w:val="WW8Num10z1"/>
    <w:rPr>
      <w:rFonts w:ascii="Symbol" w:cs="Symbol" w:hAnsi="Symbol" w:hint="default"/>
      <w:w w:val="100"/>
      <w:position w:val="-1"/>
      <w:effect w:val="none"/>
      <w:vertAlign w:val="baseline"/>
      <w:cs w:val="0"/>
      <w:em w:val="none"/>
    </w:rPr>
  </w:style>
  <w:style w:type="character" w:styleId="WW8Num10z2" w:customStyle="1">
    <w:name w:val="WW8Num10z2"/>
    <w:rPr>
      <w:w w:val="100"/>
      <w:position w:val="-1"/>
      <w:effect w:val="none"/>
      <w:vertAlign w:val="baseline"/>
      <w:cs w:val="0"/>
      <w:em w:val="none"/>
    </w:rPr>
  </w:style>
  <w:style w:type="character" w:styleId="WW8Num10z3" w:customStyle="1">
    <w:name w:val="WW8Num10z3"/>
    <w:rPr>
      <w:w w:val="100"/>
      <w:position w:val="-1"/>
      <w:effect w:val="none"/>
      <w:vertAlign w:val="baseline"/>
      <w:cs w:val="0"/>
      <w:em w:val="none"/>
    </w:rPr>
  </w:style>
  <w:style w:type="character" w:styleId="WW8Num10z4" w:customStyle="1">
    <w:name w:val="WW8Num10z4"/>
    <w:rPr>
      <w:w w:val="100"/>
      <w:position w:val="-1"/>
      <w:effect w:val="none"/>
      <w:vertAlign w:val="baseline"/>
      <w:cs w:val="0"/>
      <w:em w:val="none"/>
    </w:rPr>
  </w:style>
  <w:style w:type="character" w:styleId="WW8Num10z5" w:customStyle="1">
    <w:name w:val="WW8Num10z5"/>
    <w:rPr>
      <w:w w:val="100"/>
      <w:position w:val="-1"/>
      <w:effect w:val="none"/>
      <w:vertAlign w:val="baseline"/>
      <w:cs w:val="0"/>
      <w:em w:val="none"/>
    </w:rPr>
  </w:style>
  <w:style w:type="character" w:styleId="WW8Num10z6" w:customStyle="1">
    <w:name w:val="WW8Num10z6"/>
    <w:rPr>
      <w:w w:val="100"/>
      <w:position w:val="-1"/>
      <w:effect w:val="none"/>
      <w:vertAlign w:val="baseline"/>
      <w:cs w:val="0"/>
      <w:em w:val="none"/>
    </w:rPr>
  </w:style>
  <w:style w:type="character" w:styleId="WW8Num10z7" w:customStyle="1">
    <w:name w:val="WW8Num10z7"/>
    <w:rPr>
      <w:w w:val="100"/>
      <w:position w:val="-1"/>
      <w:effect w:val="none"/>
      <w:vertAlign w:val="baseline"/>
      <w:cs w:val="0"/>
      <w:em w:val="none"/>
    </w:rPr>
  </w:style>
  <w:style w:type="character" w:styleId="WW8Num10z8" w:customStyle="1">
    <w:name w:val="WW8Num10z8"/>
    <w:rPr>
      <w:w w:val="100"/>
      <w:position w:val="-1"/>
      <w:effect w:val="none"/>
      <w:vertAlign w:val="baseline"/>
      <w:cs w:val="0"/>
      <w:em w:val="none"/>
    </w:rPr>
  </w:style>
  <w:style w:type="character" w:styleId="WW8Num12z1" w:customStyle="1">
    <w:name w:val="WW8Num12z1"/>
    <w:rPr>
      <w:w w:val="100"/>
      <w:position w:val="-1"/>
      <w:effect w:val="none"/>
      <w:vertAlign w:val="baseline"/>
      <w:cs w:val="0"/>
      <w:em w:val="none"/>
    </w:rPr>
  </w:style>
  <w:style w:type="character" w:styleId="WW8Num12z2" w:customStyle="1">
    <w:name w:val="WW8Num12z2"/>
    <w:rPr>
      <w:w w:val="100"/>
      <w:position w:val="-1"/>
      <w:effect w:val="none"/>
      <w:vertAlign w:val="baseline"/>
      <w:cs w:val="0"/>
      <w:em w:val="none"/>
    </w:rPr>
  </w:style>
  <w:style w:type="character" w:styleId="WW8Num12z3" w:customStyle="1">
    <w:name w:val="WW8Num12z3"/>
    <w:rPr>
      <w:w w:val="100"/>
      <w:position w:val="-1"/>
      <w:effect w:val="none"/>
      <w:vertAlign w:val="baseline"/>
      <w:cs w:val="0"/>
      <w:em w:val="none"/>
    </w:rPr>
  </w:style>
  <w:style w:type="character" w:styleId="WW8Num12z4" w:customStyle="1">
    <w:name w:val="WW8Num12z4"/>
    <w:rPr>
      <w:w w:val="100"/>
      <w:position w:val="-1"/>
      <w:effect w:val="none"/>
      <w:vertAlign w:val="baseline"/>
      <w:cs w:val="0"/>
      <w:em w:val="none"/>
    </w:rPr>
  </w:style>
  <w:style w:type="character" w:styleId="WW8Num12z5" w:customStyle="1">
    <w:name w:val="WW8Num12z5"/>
    <w:rPr>
      <w:w w:val="100"/>
      <w:position w:val="-1"/>
      <w:effect w:val="none"/>
      <w:vertAlign w:val="baseline"/>
      <w:cs w:val="0"/>
      <w:em w:val="none"/>
    </w:rPr>
  </w:style>
  <w:style w:type="character" w:styleId="WW8Num12z6" w:customStyle="1">
    <w:name w:val="WW8Num12z6"/>
    <w:rPr>
      <w:w w:val="100"/>
      <w:position w:val="-1"/>
      <w:effect w:val="none"/>
      <w:vertAlign w:val="baseline"/>
      <w:cs w:val="0"/>
      <w:em w:val="none"/>
    </w:rPr>
  </w:style>
  <w:style w:type="character" w:styleId="WW8Num12z7" w:customStyle="1">
    <w:name w:val="WW8Num12z7"/>
    <w:rPr>
      <w:w w:val="100"/>
      <w:position w:val="-1"/>
      <w:effect w:val="none"/>
      <w:vertAlign w:val="baseline"/>
      <w:cs w:val="0"/>
      <w:em w:val="none"/>
    </w:rPr>
  </w:style>
  <w:style w:type="character" w:styleId="WW8Num12z8" w:customStyle="1">
    <w:name w:val="WW8Num12z8"/>
    <w:rPr>
      <w:w w:val="100"/>
      <w:position w:val="-1"/>
      <w:effect w:val="none"/>
      <w:vertAlign w:val="baseline"/>
      <w:cs w:val="0"/>
      <w:em w:val="none"/>
    </w:rPr>
  </w:style>
  <w:style w:type="character" w:styleId="WW8Num13z1" w:customStyle="1">
    <w:name w:val="WW8Num13z1"/>
    <w:rPr>
      <w:w w:val="100"/>
      <w:position w:val="-1"/>
      <w:effect w:val="none"/>
      <w:vertAlign w:val="baseline"/>
      <w:cs w:val="0"/>
      <w:em w:val="none"/>
    </w:rPr>
  </w:style>
  <w:style w:type="character" w:styleId="WW8Num13z2" w:customStyle="1">
    <w:name w:val="WW8Num13z2"/>
    <w:rPr>
      <w:w w:val="100"/>
      <w:position w:val="-1"/>
      <w:effect w:val="none"/>
      <w:vertAlign w:val="baseline"/>
      <w:cs w:val="0"/>
      <w:em w:val="none"/>
    </w:rPr>
  </w:style>
  <w:style w:type="character" w:styleId="WW8Num13z3" w:customStyle="1">
    <w:name w:val="WW8Num13z3"/>
    <w:rPr>
      <w:w w:val="100"/>
      <w:position w:val="-1"/>
      <w:effect w:val="none"/>
      <w:vertAlign w:val="baseline"/>
      <w:cs w:val="0"/>
      <w:em w:val="none"/>
    </w:rPr>
  </w:style>
  <w:style w:type="character" w:styleId="WW8Num13z4" w:customStyle="1">
    <w:name w:val="WW8Num13z4"/>
    <w:rPr>
      <w:w w:val="100"/>
      <w:position w:val="-1"/>
      <w:effect w:val="none"/>
      <w:vertAlign w:val="baseline"/>
      <w:cs w:val="0"/>
      <w:em w:val="none"/>
    </w:rPr>
  </w:style>
  <w:style w:type="character" w:styleId="WW8Num13z5" w:customStyle="1">
    <w:name w:val="WW8Num13z5"/>
    <w:rPr>
      <w:w w:val="100"/>
      <w:position w:val="-1"/>
      <w:effect w:val="none"/>
      <w:vertAlign w:val="baseline"/>
      <w:cs w:val="0"/>
      <w:em w:val="none"/>
    </w:rPr>
  </w:style>
  <w:style w:type="character" w:styleId="WW8Num13z6" w:customStyle="1">
    <w:name w:val="WW8Num13z6"/>
    <w:rPr>
      <w:w w:val="100"/>
      <w:position w:val="-1"/>
      <w:effect w:val="none"/>
      <w:vertAlign w:val="baseline"/>
      <w:cs w:val="0"/>
      <w:em w:val="none"/>
    </w:rPr>
  </w:style>
  <w:style w:type="character" w:styleId="WW8Num13z7" w:customStyle="1">
    <w:name w:val="WW8Num13z7"/>
    <w:rPr>
      <w:w w:val="100"/>
      <w:position w:val="-1"/>
      <w:effect w:val="none"/>
      <w:vertAlign w:val="baseline"/>
      <w:cs w:val="0"/>
      <w:em w:val="none"/>
    </w:rPr>
  </w:style>
  <w:style w:type="character" w:styleId="WW8Num13z8" w:customStyle="1">
    <w:name w:val="WW8Num13z8"/>
    <w:rPr>
      <w:w w:val="100"/>
      <w:position w:val="-1"/>
      <w:effect w:val="none"/>
      <w:vertAlign w:val="baseline"/>
      <w:cs w:val="0"/>
      <w:em w:val="none"/>
    </w:rPr>
  </w:style>
  <w:style w:type="character" w:styleId="WW8Num16z2" w:customStyle="1">
    <w:name w:val="WW8Num16z2"/>
    <w:rPr>
      <w:w w:val="100"/>
      <w:position w:val="-1"/>
      <w:effect w:val="none"/>
      <w:vertAlign w:val="baseline"/>
      <w:cs w:val="0"/>
      <w:em w:val="none"/>
    </w:rPr>
  </w:style>
  <w:style w:type="character" w:styleId="WW8Num16z3" w:customStyle="1">
    <w:name w:val="WW8Num16z3"/>
    <w:rPr>
      <w:w w:val="100"/>
      <w:position w:val="-1"/>
      <w:effect w:val="none"/>
      <w:vertAlign w:val="baseline"/>
      <w:cs w:val="0"/>
      <w:em w:val="none"/>
    </w:rPr>
  </w:style>
  <w:style w:type="character" w:styleId="WW8Num19z3" w:customStyle="1">
    <w:name w:val="WW8Num19z3"/>
    <w:rPr>
      <w:w w:val="100"/>
      <w:position w:val="-1"/>
      <w:effect w:val="none"/>
      <w:vertAlign w:val="baseline"/>
      <w:cs w:val="0"/>
      <w:em w:val="none"/>
    </w:rPr>
  </w:style>
  <w:style w:type="character" w:styleId="WW8Num19z4" w:customStyle="1">
    <w:name w:val="WW8Num19z4"/>
    <w:rPr>
      <w:w w:val="100"/>
      <w:position w:val="-1"/>
      <w:effect w:val="none"/>
      <w:vertAlign w:val="baseline"/>
      <w:cs w:val="0"/>
      <w:em w:val="none"/>
    </w:rPr>
  </w:style>
  <w:style w:type="character" w:styleId="WW8Num19z5" w:customStyle="1">
    <w:name w:val="WW8Num19z5"/>
    <w:rPr>
      <w:w w:val="100"/>
      <w:position w:val="-1"/>
      <w:effect w:val="none"/>
      <w:vertAlign w:val="baseline"/>
      <w:cs w:val="0"/>
      <w:em w:val="none"/>
    </w:rPr>
  </w:style>
  <w:style w:type="character" w:styleId="WW8Num19z6" w:customStyle="1">
    <w:name w:val="WW8Num19z6"/>
    <w:rPr>
      <w:w w:val="100"/>
      <w:position w:val="-1"/>
      <w:effect w:val="none"/>
      <w:vertAlign w:val="baseline"/>
      <w:cs w:val="0"/>
      <w:em w:val="none"/>
    </w:rPr>
  </w:style>
  <w:style w:type="character" w:styleId="WW8Num19z7" w:customStyle="1">
    <w:name w:val="WW8Num19z7"/>
    <w:rPr>
      <w:w w:val="100"/>
      <w:position w:val="-1"/>
      <w:effect w:val="none"/>
      <w:vertAlign w:val="baseline"/>
      <w:cs w:val="0"/>
      <w:em w:val="none"/>
    </w:rPr>
  </w:style>
  <w:style w:type="character" w:styleId="WW8Num19z8" w:customStyle="1">
    <w:name w:val="WW8Num19z8"/>
    <w:rPr>
      <w:w w:val="100"/>
      <w:position w:val="-1"/>
      <w:effect w:val="none"/>
      <w:vertAlign w:val="baseline"/>
      <w:cs w:val="0"/>
      <w:em w:val="none"/>
    </w:rPr>
  </w:style>
  <w:style w:type="character" w:styleId="WW8NumSt25z0" w:customStyle="1">
    <w:name w:val="WW8NumSt25z0"/>
    <w:rPr>
      <w:rFonts w:ascii="Symbol" w:cs="Symbol" w:hAnsi="Symbol" w:hint="default"/>
      <w:w w:val="100"/>
      <w:position w:val="-1"/>
      <w:effect w:val="none"/>
      <w:vertAlign w:val="baseline"/>
      <w:cs w:val="0"/>
      <w:em w:val="none"/>
    </w:rPr>
  </w:style>
  <w:style w:type="character" w:styleId="Domylnaczcionkaakapitu1" w:customStyle="1">
    <w:name w:val="Domyślna czcionka akapitu1"/>
    <w:rPr>
      <w:w w:val="100"/>
      <w:position w:val="-1"/>
      <w:effect w:val="none"/>
      <w:vertAlign w:val="baseline"/>
      <w:cs w:val="0"/>
      <w:em w:val="none"/>
    </w:rPr>
  </w:style>
  <w:style w:type="character" w:styleId="Hipercze">
    <w:name w:val="Hyperlink"/>
    <w:rPr>
      <w:color w:val="0000ff"/>
      <w:w w:val="100"/>
      <w:position w:val="-1"/>
      <w:u w:val="single"/>
      <w:effect w:val="none"/>
      <w:vertAlign w:val="baseline"/>
      <w:cs w:val="0"/>
      <w:em w:val="none"/>
    </w:rPr>
  </w:style>
  <w:style w:type="character" w:styleId="Numerstrony">
    <w:name w:val="page number"/>
    <w:basedOn w:val="Domylnaczcionkaakapitu1"/>
    <w:rPr>
      <w:w w:val="100"/>
      <w:position w:val="-1"/>
      <w:effect w:val="none"/>
      <w:vertAlign w:val="baseline"/>
      <w:cs w:val="0"/>
      <w:em w:val="none"/>
    </w:rPr>
  </w:style>
  <w:style w:type="character" w:styleId="Symbolewypunktowania" w:customStyle="1">
    <w:name w:val="Symbole wypunktowania"/>
    <w:rPr>
      <w:rFonts w:ascii="OpenSymbol" w:cs="OpenSymbol" w:eastAsia="OpenSymbol" w:hAnsi="OpenSymbol"/>
      <w:w w:val="100"/>
      <w:position w:val="-1"/>
      <w:effect w:val="none"/>
      <w:vertAlign w:val="baseline"/>
      <w:cs w:val="0"/>
      <w:em w:val="none"/>
    </w:rPr>
  </w:style>
  <w:style w:type="character" w:styleId="Znakinumeracji" w:customStyle="1">
    <w:name w:val="Znaki numeracji"/>
    <w:rPr>
      <w:w w:val="100"/>
      <w:position w:val="-1"/>
      <w:effect w:val="none"/>
      <w:vertAlign w:val="baseline"/>
      <w:cs w:val="0"/>
      <w:em w:val="none"/>
    </w:rPr>
  </w:style>
  <w:style w:type="character" w:styleId="Tekstpodstawowy3Znak" w:customStyle="1">
    <w:name w:val="Tekst podstawowy 3 Znak"/>
    <w:rPr>
      <w:w w:val="100"/>
      <w:position w:val="-1"/>
      <w:sz w:val="16"/>
      <w:szCs w:val="16"/>
      <w:effect w:val="none"/>
      <w:vertAlign w:val="baseline"/>
      <w:cs w:val="0"/>
      <w:em w:val="none"/>
    </w:rPr>
  </w:style>
  <w:style w:type="character" w:styleId="apple-converted-space" w:customStyle="1">
    <w:name w:val="apple-converted-space"/>
    <w:basedOn w:val="Domylnaczcionkaakapitu2"/>
    <w:rPr>
      <w:w w:val="100"/>
      <w:position w:val="-1"/>
      <w:effect w:val="none"/>
      <w:vertAlign w:val="baseline"/>
      <w:cs w:val="0"/>
      <w:em w:val="none"/>
    </w:rPr>
  </w:style>
  <w:style w:type="paragraph" w:styleId="Nagwek20" w:customStyle="1">
    <w:name w:val="Nagłówek2"/>
    <w:basedOn w:val="Normalny"/>
    <w:next w:val="Tekstpodstawowy"/>
    <w:pPr>
      <w:keepNext w:val="1"/>
      <w:spacing w:before="240"/>
    </w:pPr>
    <w:rPr>
      <w:rFonts w:ascii="Arial" w:cs="Mangal" w:eastAsia="Microsoft YaHei" w:hAnsi="Arial"/>
      <w:sz w:val="28"/>
      <w:szCs w:val="28"/>
    </w:rPr>
  </w:style>
  <w:style w:type="paragraph" w:styleId="Tekstpodstawowy">
    <w:name w:val="Body Text"/>
    <w:basedOn w:val="Normalny"/>
  </w:style>
  <w:style w:type="paragraph" w:styleId="Lista">
    <w:name w:val="List"/>
    <w:basedOn w:val="Tekstpodstawowy"/>
  </w:style>
  <w:style w:type="paragraph" w:styleId="Podpis2" w:customStyle="1">
    <w:name w:val="Podpis2"/>
    <w:basedOn w:val="Normalny"/>
    <w:pPr>
      <w:suppressLineNumbers w:val="1"/>
      <w:spacing w:before="120"/>
    </w:pPr>
    <w:rPr>
      <w:i w:val="1"/>
      <w:iCs w:val="1"/>
    </w:rPr>
  </w:style>
  <w:style w:type="paragraph" w:styleId="Indeks" w:customStyle="1">
    <w:name w:val="Indeks"/>
    <w:basedOn w:val="Normalny"/>
    <w:pPr>
      <w:suppressLineNumbers w:val="1"/>
    </w:pPr>
  </w:style>
  <w:style w:type="paragraph" w:styleId="Nagwek10" w:customStyle="1">
    <w:name w:val="Nagłówek1"/>
    <w:basedOn w:val="Normalny"/>
    <w:next w:val="Tekstpodstawowy"/>
    <w:pPr>
      <w:keepNext w:val="1"/>
      <w:spacing w:before="240"/>
    </w:pPr>
    <w:rPr>
      <w:rFonts w:ascii="Arial" w:cs="Mangal" w:eastAsia="Microsoft YaHei" w:hAnsi="Arial"/>
      <w:sz w:val="28"/>
      <w:szCs w:val="28"/>
    </w:rPr>
  </w:style>
  <w:style w:type="paragraph" w:styleId="Podpis1" w:customStyle="1">
    <w:name w:val="Podpis1"/>
    <w:basedOn w:val="Normalny"/>
    <w:pPr>
      <w:suppressLineNumbers w:val="1"/>
      <w:spacing w:before="120"/>
    </w:pPr>
    <w:rPr>
      <w:i w:val="1"/>
      <w:iCs w:val="1"/>
    </w:rPr>
  </w:style>
  <w:style w:type="paragraph" w:styleId="Tytutabeli" w:customStyle="1">
    <w:name w:val="Tytuł tabeli"/>
    <w:basedOn w:val="Normalny"/>
    <w:next w:val="Normalny"/>
    <w:pPr>
      <w:jc w:val="center"/>
    </w:pPr>
    <w:rPr>
      <w:b w:val="1"/>
      <w:bCs w:val="1"/>
    </w:rPr>
  </w:style>
  <w:style w:type="paragraph" w:styleId="Tekstpodstawowywcity">
    <w:name w:val="Body Text Indent"/>
    <w:basedOn w:val="Normalny"/>
    <w:pPr>
      <w:ind w:left="720" w:firstLine="0"/>
    </w:pPr>
  </w:style>
  <w:style w:type="paragraph" w:styleId="Tekstpodstawowywcity22" w:customStyle="1">
    <w:name w:val="Tekst podstawowy wcięty 22"/>
    <w:basedOn w:val="Normalny"/>
    <w:pPr>
      <w:ind w:left="360" w:firstLine="0"/>
    </w:pPr>
  </w:style>
  <w:style w:type="paragraph" w:styleId="Tekstpodstawowy21" w:customStyle="1">
    <w:name w:val="Tekst podstawowy 21"/>
    <w:basedOn w:val="Normalny"/>
    <w:pPr>
      <w:ind w:left="0" w:right="5832" w:firstLine="0"/>
      <w:jc w:val="left"/>
    </w:pPr>
    <w:rPr>
      <w:b w:val="1"/>
      <w:bCs w:val="1"/>
    </w:rPr>
  </w:style>
  <w:style w:type="paragraph" w:styleId="Tekstdymka">
    <w:name w:val="Balloon Text"/>
    <w:basedOn w:val="Normalny"/>
    <w:rPr>
      <w:rFonts w:ascii="Tahoma" w:cs="Tahoma" w:hAnsi="Tahoma"/>
      <w:sz w:val="16"/>
      <w:szCs w:val="16"/>
    </w:rPr>
  </w:style>
  <w:style w:type="paragraph" w:styleId="Stopka">
    <w:name w:val="footer"/>
    <w:basedOn w:val="Normalny"/>
    <w:pPr>
      <w:tabs>
        <w:tab w:val="center" w:pos="4536"/>
        <w:tab w:val="right" w:pos="9072"/>
      </w:tabs>
    </w:pPr>
  </w:style>
  <w:style w:type="paragraph" w:styleId="Tekstpodstawowy31" w:customStyle="1">
    <w:name w:val="Tekst podstawowy 31"/>
    <w:basedOn w:val="Normalny"/>
    <w:pPr>
      <w:spacing w:before="240"/>
    </w:pPr>
    <w:rPr>
      <w:b w:val="1"/>
      <w:bCs w:val="1"/>
    </w:rPr>
  </w:style>
  <w:style w:type="paragraph" w:styleId="p" w:customStyle="1">
    <w:name w:val="p"/>
    <w:basedOn w:val="Normalny"/>
    <w:pPr>
      <w:numPr>
        <w:numId w:val="3"/>
      </w:numPr>
      <w:ind w:left="-1" w:hanging="1"/>
    </w:pPr>
  </w:style>
  <w:style w:type="paragraph" w:styleId="Tekstpodstawowywcity31" w:customStyle="1">
    <w:name w:val="Tekst podstawowy wcięty 31"/>
    <w:basedOn w:val="Normalny"/>
    <w:pPr>
      <w:ind w:left="900" w:firstLine="0"/>
    </w:pPr>
  </w:style>
  <w:style w:type="paragraph" w:styleId="BodyText24" w:customStyle="1">
    <w:name w:val="Body Text 24"/>
    <w:basedOn w:val="Normalny"/>
    <w:pPr>
      <w:spacing w:after="0"/>
      <w:ind w:left="851" w:firstLine="0"/>
    </w:pPr>
    <w:rPr>
      <w:szCs w:val="20"/>
    </w:rPr>
  </w:style>
  <w:style w:type="paragraph" w:styleId="BodyTextIndent21" w:customStyle="1">
    <w:name w:val="Body Text Indent 21"/>
    <w:basedOn w:val="Normalny"/>
    <w:pPr>
      <w:spacing w:after="0"/>
      <w:ind w:left="567" w:firstLine="0"/>
    </w:pPr>
    <w:rPr>
      <w:szCs w:val="20"/>
    </w:rPr>
  </w:style>
  <w:style w:type="paragraph" w:styleId="BodyText26" w:customStyle="1">
    <w:name w:val="Body Text 26"/>
    <w:basedOn w:val="Normalny"/>
    <w:pPr>
      <w:spacing w:after="0"/>
      <w:ind w:left="709" w:hanging="142"/>
    </w:pPr>
    <w:rPr>
      <w:szCs w:val="20"/>
    </w:rPr>
  </w:style>
  <w:style w:type="paragraph" w:styleId="Tekstprzypisudolnego">
    <w:name w:val="footnote text"/>
    <w:basedOn w:val="Normalny"/>
    <w:pPr>
      <w:spacing w:after="0"/>
      <w:jc w:val="left"/>
    </w:pPr>
    <w:rPr>
      <w:sz w:val="20"/>
      <w:szCs w:val="20"/>
    </w:rPr>
  </w:style>
  <w:style w:type="paragraph" w:styleId="Tekstpodstawowy2">
    <w:name w:val="Body Text 2"/>
    <w:basedOn w:val="Normalny"/>
    <w:pPr>
      <w:spacing w:after="0"/>
      <w:ind w:left="851" w:firstLine="567"/>
    </w:pPr>
    <w:rPr>
      <w:szCs w:val="20"/>
    </w:rPr>
  </w:style>
  <w:style w:type="paragraph" w:styleId="Zwykytekst">
    <w:name w:val="Plain Text"/>
    <w:basedOn w:val="Normalny"/>
    <w:pPr>
      <w:spacing w:after="0"/>
      <w:jc w:val="left"/>
    </w:pPr>
    <w:rPr>
      <w:sz w:val="20"/>
      <w:szCs w:val="20"/>
    </w:rPr>
  </w:style>
  <w:style w:type="paragraph" w:styleId="Listapunktowana1" w:customStyle="1">
    <w:name w:val="Lista punktowana1"/>
    <w:basedOn w:val="Normalny"/>
    <w:pPr>
      <w:numPr>
        <w:numId w:val="8"/>
      </w:numPr>
      <w:tabs>
        <w:tab w:val="left" w:pos="360"/>
      </w:tabs>
      <w:spacing w:after="0"/>
      <w:ind w:left="360"/>
      <w:jc w:val="left"/>
    </w:pPr>
    <w:rPr>
      <w:rFonts w:ascii="Arial" w:cs="Arial" w:hAnsi="Arial"/>
      <w:szCs w:val="20"/>
    </w:rPr>
  </w:style>
  <w:style w:type="paragraph" w:styleId="Wcicienormalne1" w:customStyle="1">
    <w:name w:val="Wcięcie normalne1"/>
    <w:basedOn w:val="Normalny"/>
    <w:pPr>
      <w:spacing w:after="0" w:line="360" w:lineRule="auto"/>
      <w:ind w:left="708" w:firstLine="0"/>
      <w:jc w:val="left"/>
    </w:pPr>
    <w:rPr>
      <w:sz w:val="20"/>
      <w:szCs w:val="20"/>
    </w:rPr>
  </w:style>
  <w:style w:type="paragraph" w:styleId="Listapunktowana21" w:customStyle="1">
    <w:name w:val="Lista punktowana 21"/>
    <w:basedOn w:val="Normalny"/>
    <w:pPr>
      <w:numPr>
        <w:numId w:val="1"/>
      </w:numPr>
      <w:spacing w:after="0"/>
      <w:ind w:left="-1" w:hanging="1"/>
      <w:jc w:val="left"/>
    </w:pPr>
  </w:style>
  <w:style w:type="paragraph" w:styleId="BodyText21" w:customStyle="1">
    <w:name w:val="Body Text 21"/>
    <w:basedOn w:val="Normalny"/>
    <w:pPr>
      <w:spacing w:after="0"/>
      <w:ind w:left="993" w:firstLine="0"/>
    </w:pPr>
    <w:rPr>
      <w:szCs w:val="20"/>
    </w:rPr>
  </w:style>
  <w:style w:type="paragraph" w:styleId="BodyTextIndent31" w:customStyle="1">
    <w:name w:val="Body Text Indent 31"/>
    <w:basedOn w:val="Normalny"/>
    <w:pPr>
      <w:spacing w:after="0"/>
      <w:ind w:left="426" w:hanging="270"/>
    </w:pPr>
    <w:rPr>
      <w:szCs w:val="20"/>
    </w:rPr>
  </w:style>
  <w:style w:type="paragraph" w:styleId="Zawartotabeli" w:customStyle="1">
    <w:name w:val="Zawartość tabeli"/>
    <w:basedOn w:val="Normalny"/>
    <w:pPr>
      <w:suppressLineNumbers w:val="1"/>
    </w:pPr>
  </w:style>
  <w:style w:type="paragraph" w:styleId="Nagwektabeli" w:customStyle="1">
    <w:name w:val="Nagłówek tabeli"/>
    <w:basedOn w:val="Zawartotabeli"/>
    <w:pPr>
      <w:jc w:val="center"/>
    </w:pPr>
    <w:rPr>
      <w:b w:val="1"/>
      <w:bCs w:val="1"/>
    </w:rPr>
  </w:style>
  <w:style w:type="paragraph" w:styleId="Zawartoramki" w:customStyle="1">
    <w:name w:val="Zawartość ramki"/>
    <w:basedOn w:val="Tekstpodstawowy"/>
  </w:style>
  <w:style w:type="paragraph" w:styleId="Nagwek">
    <w:name w:val="header"/>
    <w:basedOn w:val="Normalny"/>
    <w:pPr>
      <w:suppressLineNumbers w:val="1"/>
      <w:tabs>
        <w:tab w:val="center" w:pos="4819"/>
        <w:tab w:val="right" w:pos="9638"/>
      </w:tabs>
    </w:pPr>
  </w:style>
  <w:style w:type="paragraph" w:styleId="Nagwekspisutreci">
    <w:name w:val="TOC Heading"/>
    <w:basedOn w:val="Nagwek10"/>
    <w:pPr>
      <w:suppressLineNumbers w:val="1"/>
      <w:ind w:left="0" w:firstLine="0"/>
    </w:pPr>
    <w:rPr>
      <w:b w:val="1"/>
      <w:bCs w:val="1"/>
      <w:sz w:val="32"/>
      <w:szCs w:val="32"/>
    </w:rPr>
  </w:style>
  <w:style w:type="paragraph" w:styleId="Spistreci1">
    <w:name w:val="toc 1"/>
    <w:basedOn w:val="Indeks"/>
    <w:pPr>
      <w:tabs>
        <w:tab w:val="right" w:leader="dot" w:pos="9072"/>
      </w:tabs>
      <w:ind w:left="0" w:firstLine="0"/>
    </w:pPr>
  </w:style>
  <w:style w:type="paragraph" w:styleId="Spistreci2">
    <w:name w:val="toc 2"/>
    <w:basedOn w:val="Indeks"/>
    <w:pPr>
      <w:tabs>
        <w:tab w:val="right" w:leader="dot" w:pos="8789"/>
      </w:tabs>
      <w:ind w:left="283" w:firstLine="0"/>
    </w:pPr>
  </w:style>
  <w:style w:type="paragraph" w:styleId="Spistreci3">
    <w:name w:val="toc 3"/>
    <w:basedOn w:val="Indeks"/>
    <w:pPr>
      <w:tabs>
        <w:tab w:val="right" w:leader="dot" w:pos="8506"/>
      </w:tabs>
      <w:ind w:left="566" w:firstLine="0"/>
    </w:pPr>
  </w:style>
  <w:style w:type="paragraph" w:styleId="Spistreci4">
    <w:name w:val="toc 4"/>
    <w:basedOn w:val="Indeks"/>
    <w:pPr>
      <w:tabs>
        <w:tab w:val="right" w:leader="dot" w:pos="8223"/>
      </w:tabs>
      <w:ind w:left="849" w:firstLine="0"/>
    </w:pPr>
  </w:style>
  <w:style w:type="paragraph" w:styleId="Tekstpodstawowywcity21" w:customStyle="1">
    <w:name w:val="Tekst podstawowy wcięty 21"/>
    <w:basedOn w:val="Normalny"/>
    <w:pPr>
      <w:ind w:left="360" w:hanging="360"/>
    </w:pPr>
    <w:rPr>
      <w:color w:val="00000a"/>
      <w:szCs w:val="22"/>
    </w:rPr>
  </w:style>
  <w:style w:type="paragraph" w:styleId="Spistreci5">
    <w:name w:val="toc 5"/>
    <w:basedOn w:val="Indeks"/>
    <w:pPr>
      <w:tabs>
        <w:tab w:val="right" w:leader="dot" w:pos="8506"/>
      </w:tabs>
      <w:ind w:left="1132" w:firstLine="0"/>
    </w:pPr>
  </w:style>
  <w:style w:type="paragraph" w:styleId="Spistreci6">
    <w:name w:val="toc 6"/>
    <w:basedOn w:val="Indeks"/>
    <w:pPr>
      <w:tabs>
        <w:tab w:val="right" w:leader="dot" w:pos="8223"/>
      </w:tabs>
      <w:ind w:left="1415" w:firstLine="0"/>
    </w:pPr>
  </w:style>
  <w:style w:type="paragraph" w:styleId="Spistreci7">
    <w:name w:val="toc 7"/>
    <w:basedOn w:val="Indeks"/>
    <w:pPr>
      <w:tabs>
        <w:tab w:val="right" w:leader="dot" w:pos="7940"/>
      </w:tabs>
      <w:ind w:left="1698" w:firstLine="0"/>
    </w:pPr>
  </w:style>
  <w:style w:type="paragraph" w:styleId="Spistreci8">
    <w:name w:val="toc 8"/>
    <w:basedOn w:val="Indeks"/>
    <w:pPr>
      <w:tabs>
        <w:tab w:val="right" w:leader="dot" w:pos="7657"/>
      </w:tabs>
      <w:ind w:left="1981" w:firstLine="0"/>
    </w:pPr>
  </w:style>
  <w:style w:type="paragraph" w:styleId="Spistreci9">
    <w:name w:val="toc 9"/>
    <w:basedOn w:val="Indeks"/>
    <w:pPr>
      <w:tabs>
        <w:tab w:val="right" w:leader="dot" w:pos="7374"/>
      </w:tabs>
      <w:ind w:left="2264" w:firstLine="0"/>
    </w:pPr>
  </w:style>
  <w:style w:type="paragraph" w:styleId="Spistreci10" w:customStyle="1">
    <w:name w:val="Spis treści 10"/>
    <w:basedOn w:val="Indeks"/>
    <w:pPr>
      <w:tabs>
        <w:tab w:val="right" w:leader="dot" w:pos="7091"/>
      </w:tabs>
      <w:ind w:left="2547" w:firstLine="0"/>
    </w:pPr>
  </w:style>
  <w:style w:type="paragraph" w:styleId="Tekstpodstawowy32" w:customStyle="1">
    <w:name w:val="Tekst podstawowy 32"/>
    <w:basedOn w:val="Normalny"/>
    <w:pPr>
      <w:suppressAutoHyphens w:val="1"/>
      <w:jc w:val="left"/>
    </w:pPr>
    <w:rPr>
      <w:sz w:val="16"/>
      <w:szCs w:val="16"/>
    </w:rPr>
  </w:style>
  <w:style w:type="paragraph" w:styleId="AkapitzlistNormalAkapitzlist31TytuyAkapitzlist3" w:customStyle="1">
    <w:name w:val="Akapit z listą;Normal;Akapit z listą31;Tytuły;Akapit z listą3"/>
    <w:basedOn w:val="Normalny"/>
    <w:pPr>
      <w:ind w:left="708"/>
    </w:pPr>
  </w:style>
  <w:style w:type="character" w:styleId="Odwoaniedokomentarza">
    <w:name w:val="annotation reference"/>
    <w:qFormat w:val="1"/>
    <w:rPr>
      <w:w w:val="100"/>
      <w:position w:val="-1"/>
      <w:sz w:val="16"/>
      <w:szCs w:val="16"/>
      <w:effect w:val="none"/>
      <w:vertAlign w:val="baseline"/>
      <w:cs w:val="0"/>
      <w:em w:val="none"/>
    </w:rPr>
  </w:style>
  <w:style w:type="paragraph" w:styleId="Tekstkomentarza">
    <w:name w:val="annotation text"/>
    <w:basedOn w:val="Normalny"/>
    <w:qFormat w:val="1"/>
    <w:rPr>
      <w:sz w:val="20"/>
      <w:szCs w:val="20"/>
    </w:rPr>
  </w:style>
  <w:style w:type="character" w:styleId="TekstkomentarzaZnak" w:customStyle="1">
    <w:name w:val="Tekst komentarza Znak"/>
    <w:rPr>
      <w:w w:val="100"/>
      <w:position w:val="-1"/>
      <w:effect w:val="none"/>
      <w:vertAlign w:val="baseline"/>
      <w:cs w:val="0"/>
      <w:em w:val="none"/>
      <w:lang w:eastAsia="ar-SA"/>
    </w:rPr>
  </w:style>
  <w:style w:type="paragraph" w:styleId="Tematkomentarza">
    <w:name w:val="annotation subject"/>
    <w:basedOn w:val="Tekstkomentarza"/>
    <w:next w:val="Tekstkomentarza"/>
    <w:qFormat w:val="1"/>
    <w:rPr>
      <w:b w:val="1"/>
      <w:bCs w:val="1"/>
    </w:rPr>
  </w:style>
  <w:style w:type="character" w:styleId="TematkomentarzaZnak" w:customStyle="1">
    <w:name w:val="Temat komentarza Znak"/>
    <w:rPr>
      <w:b w:val="1"/>
      <w:bCs w:val="1"/>
      <w:w w:val="100"/>
      <w:position w:val="-1"/>
      <w:effect w:val="none"/>
      <w:vertAlign w:val="baseline"/>
      <w:cs w:val="0"/>
      <w:em w:val="none"/>
      <w:lang w:eastAsia="ar-SA"/>
    </w:rPr>
  </w:style>
  <w:style w:type="table" w:styleId="a" w:customStyle="1">
    <w:basedOn w:val="TableNormal"/>
    <w:tblPr>
      <w:tblStyleRowBandSize w:val="1"/>
      <w:tblStyleColBandSize w:val="1"/>
      <w:tblCellMar>
        <w:left w:w="70.0" w:type="dxa"/>
        <w:right w:w="70.0" w:type="dxa"/>
      </w:tblCellMar>
    </w:tblPr>
  </w:style>
  <w:style w:type="table" w:styleId="a0" w:customStyle="1">
    <w:basedOn w:val="TableNormal"/>
    <w:tblPr>
      <w:tblStyleRowBandSize w:val="1"/>
      <w:tblStyleColBandSize w:val="1"/>
      <w:tblCellMar>
        <w:left w:w="70.0" w:type="dxa"/>
        <w:right w:w="70.0" w:type="dxa"/>
      </w:tblCellMar>
    </w:tblPr>
  </w:style>
  <w:style w:type="table" w:styleId="Table1">
    <w:basedOn w:val="TableNormal"/>
    <w:tblPr>
      <w:tblStyleRowBandSize w:val="1"/>
      <w:tblStyleColBandSize w:val="1"/>
      <w:tblCellMar>
        <w:top w:w="0.0" w:type="dxa"/>
        <w:left w:w="70.0" w:type="dxa"/>
        <w:bottom w:w="0.0" w:type="dxa"/>
        <w:right w:w="70.0" w:type="dxa"/>
      </w:tblCellMar>
    </w:tblPr>
  </w:style>
  <w:style w:type="table" w:styleId="Table2">
    <w:basedOn w:val="TableNormal"/>
    <w:tblPr>
      <w:tblStyleRowBandSize w:val="1"/>
      <w:tblStyleColBandSize w:val="1"/>
      <w:tblCellMar>
        <w:top w:w="0.0" w:type="dxa"/>
        <w:left w:w="70.0" w:type="dxa"/>
        <w:bottom w:w="0.0" w:type="dxa"/>
        <w:right w:w="70.0" w:type="dxa"/>
      </w:tblCellMar>
    </w:tblPr>
  </w:style>
  <w:style w:type="table" w:styleId="Table1">
    <w:basedOn w:val="TableNormal"/>
    <w:tblPr>
      <w:tblStyleRowBandSize w:val="1"/>
      <w:tblStyleColBandSize w:val="1"/>
      <w:tblCellMar>
        <w:top w:w="0.0" w:type="dxa"/>
        <w:left w:w="70.0" w:type="dxa"/>
        <w:bottom w:w="0.0" w:type="dxa"/>
        <w:right w:w="70.0" w:type="dxa"/>
      </w:tblCellMar>
    </w:tblPr>
  </w:style>
  <w:style w:type="table" w:styleId="Table2">
    <w:basedOn w:val="TableNormal"/>
    <w:tblPr>
      <w:tblStyleRowBandSize w:val="1"/>
      <w:tblStyleColBandSize w:val="1"/>
      <w:tblCellMar>
        <w:top w:w="0.0" w:type="dxa"/>
        <w:left w:w="70.0" w:type="dxa"/>
        <w:bottom w:w="0.0" w:type="dxa"/>
        <w:right w:w="70.0" w:type="dxa"/>
      </w:tblCellMar>
    </w:tbl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hanging="1"/>
      <w:jc w:val="both"/>
    </w:pPr>
    <w:rPr>
      <w:rFonts w:ascii="Georgia" w:cs="Georgia" w:eastAsia="Georgia" w:hAnsi="Georgia"/>
      <w:b w:val="0"/>
      <w:bCs w:val="0"/>
      <w:i w:val="1"/>
      <w:iCs w:val="1"/>
      <w:smallCaps w:val="0"/>
      <w:strike w:val="0"/>
      <w:color w:val="666666"/>
      <w:sz w:val="48"/>
      <w:szCs w:val="48"/>
      <w:u w:val="none"/>
      <w:shd w:fill="auto" w:val="clear"/>
      <w:vertAlign w:val="baseline"/>
    </w:rPr>
  </w:style>
  <w:style w:type="table" w:styleId="Table1">
    <w:basedOn w:val="TableNormal"/>
    <w:tblPr>
      <w:tblStyleRowBandSize w:val="1"/>
      <w:tblStyleColBandSize w:val="1"/>
      <w:tblCellMar>
        <w:top w:w="0.0" w:type="dxa"/>
        <w:left w:w="70.0" w:type="dxa"/>
        <w:bottom w:w="0.0" w:type="dxa"/>
        <w:right w:w="70.0" w:type="dxa"/>
      </w:tblCellMar>
    </w:tblPr>
  </w:style>
  <w:style w:type="table" w:styleId="Table2">
    <w:basedOn w:val="TableNormal"/>
    <w:tblPr>
      <w:tblStyleRowBandSize w:val="1"/>
      <w:tblStyleColBandSize w:val="1"/>
      <w:tblCellMar>
        <w:top w:w="0.0" w:type="dxa"/>
        <w:left w:w="70.0" w:type="dxa"/>
        <w:bottom w:w="0.0" w:type="dxa"/>
        <w:right w:w="70.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yperlink" Target="about:blank" TargetMode="External"/><Relationship Id="rId10" Type="http://schemas.openxmlformats.org/officeDocument/2006/relationships/hyperlink" Target="http://sklep.pkn.pl/pn-en-iso-17637-2011e.html" TargetMode="External"/><Relationship Id="rId13" Type="http://schemas.openxmlformats.org/officeDocument/2006/relationships/hyperlink" Target="http://sklep.pkn.pl/pn-en-12517-2001p.html" TargetMode="External"/><Relationship Id="rId12" Type="http://schemas.openxmlformats.org/officeDocument/2006/relationships/hyperlink" Target="http://sklep.pkn.pl/pn-en-10246-10-2002e.html"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klep.pkn.pl/pn-en-iso-15614-1-2005e.html" TargetMode="External"/><Relationship Id="rId15" Type="http://schemas.openxmlformats.org/officeDocument/2006/relationships/hyperlink" Target="http://sklep.pkn.pl/pn-en-1712-2001p.html" TargetMode="External"/><Relationship Id="rId14" Type="http://schemas.openxmlformats.org/officeDocument/2006/relationships/hyperlink" Target="http://sklep.pkn.pl/pn-en-970-1999p.html" TargetMode="External"/><Relationship Id="rId17" Type="http://schemas.openxmlformats.org/officeDocument/2006/relationships/footer" Target="footer1.xml"/><Relationship Id="rId16" Type="http://schemas.openxmlformats.org/officeDocument/2006/relationships/hyperlink" Target="http://sklep.pkn.pl/pn-en-13480-1-2005p.html" TargetMode="Externa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klep.pkn.pl/pn-en-iso-15607-2005e.html" TargetMode="External"/><Relationship Id="rId8" Type="http://schemas.openxmlformats.org/officeDocument/2006/relationships/hyperlink" Target="http://sklep.pkn.pl/pn-en-iso-15609-1-2005e.html"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Tahoma-regular.ttf"/><Relationship Id="rId2" Type="http://schemas.openxmlformats.org/officeDocument/2006/relationships/font" Target="fonts/Tahoma-bold.ttf"/><Relationship Id="rId3" Type="http://schemas.openxmlformats.org/officeDocument/2006/relationships/font" Target="fonts/NotoSansSymbols-regular.ttf"/><Relationship Id="rId4"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JgXaZ7IrzrVLiMdi+AThJtOehgg==">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</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2017-11-23T10:19:00Z</dcterms:created>
  <dc:creator>Jacek Kłosiński</dc:creator>
</cp:coreProperties>
</file>